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上海财经大学浙江学院</w:t>
      </w:r>
    </w:p>
    <w:p>
      <w:pPr>
        <w:jc w:val="center"/>
        <w:rPr>
          <w:rFonts w:ascii="黑体" w:hAnsi="黑体" w:eastAsia="黑体"/>
          <w:sz w:val="72"/>
          <w:szCs w:val="72"/>
        </w:rPr>
      </w:pPr>
      <w:r>
        <w:rPr>
          <w:rFonts w:hint="eastAsia" w:ascii="黑体" w:hAnsi="黑体" w:eastAsia="黑体"/>
          <w:sz w:val="72"/>
          <w:szCs w:val="72"/>
        </w:rPr>
        <w:t>省一流专业培育建设项目</w:t>
      </w:r>
    </w:p>
    <w:p>
      <w:pPr>
        <w:jc w:val="center"/>
        <w:rPr>
          <w:rFonts w:ascii="黑体" w:hAnsi="黑体" w:eastAsia="黑体"/>
          <w:sz w:val="72"/>
          <w:szCs w:val="72"/>
        </w:rPr>
      </w:pPr>
      <w:r>
        <w:rPr>
          <w:rFonts w:hint="eastAsia" w:ascii="黑体" w:hAnsi="黑体" w:eastAsia="黑体"/>
          <w:sz w:val="72"/>
          <w:szCs w:val="72"/>
        </w:rPr>
        <w:t>中期检查表</w:t>
      </w:r>
    </w:p>
    <w:p>
      <w:pPr>
        <w:jc w:val="center"/>
      </w:pPr>
      <w:bookmarkStart w:id="0" w:name="_GoBack"/>
      <w:bookmarkEnd w:id="0"/>
    </w:p>
    <w:p>
      <w:pPr>
        <w:jc w:val="center"/>
      </w:pPr>
    </w:p>
    <w:p>
      <w:pPr>
        <w:jc w:val="center"/>
      </w:pPr>
    </w:p>
    <w:p>
      <w:pPr>
        <w:jc w:val="center"/>
      </w:pPr>
    </w:p>
    <w:p>
      <w:pPr>
        <w:jc w:val="center"/>
      </w:pPr>
    </w:p>
    <w:p>
      <w:pPr>
        <w:jc w:val="center"/>
      </w:pPr>
    </w:p>
    <w:p>
      <w:pPr>
        <w:jc w:val="center"/>
      </w:pPr>
    </w:p>
    <w:p>
      <w:pPr>
        <w:spacing w:line="360" w:lineRule="auto"/>
        <w:jc w:val="center"/>
      </w:pPr>
    </w:p>
    <w:p>
      <w:pPr>
        <w:spacing w:line="360" w:lineRule="auto"/>
        <w:jc w:val="center"/>
      </w:pPr>
    </w:p>
    <w:p>
      <w:pPr>
        <w:spacing w:line="800" w:lineRule="exact"/>
        <w:ind w:firstLine="1800" w:firstLineChars="500"/>
        <w:jc w:val="left"/>
        <w:rPr>
          <w:sz w:val="36"/>
          <w:szCs w:val="36"/>
          <w:u w:val="single"/>
        </w:rPr>
      </w:pPr>
      <w:r>
        <w:rPr>
          <w:rFonts w:hint="eastAsia"/>
          <w:sz w:val="36"/>
          <w:szCs w:val="36"/>
        </w:rPr>
        <w:t>专业名称：</w:t>
      </w:r>
      <w:r>
        <w:rPr>
          <w:rFonts w:hint="eastAsia"/>
          <w:sz w:val="36"/>
          <w:szCs w:val="36"/>
          <w:u w:val="single"/>
        </w:rPr>
        <w:t xml:space="preserve"> </w:t>
      </w:r>
      <w:r>
        <w:rPr>
          <w:sz w:val="36"/>
          <w:szCs w:val="36"/>
          <w:u w:val="single"/>
        </w:rPr>
        <w:t xml:space="preserve">              </w:t>
      </w:r>
    </w:p>
    <w:p>
      <w:pPr>
        <w:spacing w:line="800" w:lineRule="exact"/>
        <w:ind w:firstLine="1800" w:firstLineChars="500"/>
        <w:rPr>
          <w:sz w:val="36"/>
          <w:szCs w:val="36"/>
          <w:u w:val="single"/>
        </w:rPr>
      </w:pPr>
      <w:r>
        <w:rPr>
          <w:rFonts w:hint="eastAsia"/>
          <w:sz w:val="36"/>
          <w:szCs w:val="36"/>
        </w:rPr>
        <w:t>所属系：</w:t>
      </w:r>
      <w:r>
        <w:rPr>
          <w:rFonts w:hint="eastAsia"/>
          <w:sz w:val="36"/>
          <w:szCs w:val="36"/>
          <w:u w:val="single"/>
        </w:rPr>
        <w:t xml:space="preserve"> </w:t>
      </w:r>
      <w:r>
        <w:rPr>
          <w:sz w:val="36"/>
          <w:szCs w:val="36"/>
          <w:u w:val="single"/>
        </w:rPr>
        <w:t xml:space="preserve">                      </w:t>
      </w:r>
    </w:p>
    <w:p>
      <w:pPr>
        <w:spacing w:line="800" w:lineRule="exact"/>
        <w:ind w:firstLine="1800" w:firstLineChars="500"/>
        <w:rPr>
          <w:sz w:val="36"/>
          <w:szCs w:val="36"/>
          <w:u w:val="single"/>
        </w:rPr>
      </w:pPr>
      <w:r>
        <w:rPr>
          <w:rFonts w:hint="eastAsia"/>
          <w:sz w:val="36"/>
          <w:szCs w:val="36"/>
        </w:rPr>
        <w:t>专业负责人：</w:t>
      </w:r>
      <w:r>
        <w:rPr>
          <w:rFonts w:hint="eastAsia"/>
          <w:sz w:val="36"/>
          <w:szCs w:val="36"/>
          <w:u w:val="single"/>
        </w:rPr>
        <w:t xml:space="preserve"> </w:t>
      </w:r>
      <w:r>
        <w:rPr>
          <w:sz w:val="36"/>
          <w:szCs w:val="36"/>
          <w:u w:val="single"/>
        </w:rPr>
        <w:t xml:space="preserve">                  </w:t>
      </w:r>
    </w:p>
    <w:p/>
    <w:p/>
    <w:p/>
    <w:p/>
    <w:p/>
    <w:p/>
    <w:p>
      <w:pPr>
        <w:jc w:val="center"/>
        <w:rPr>
          <w:sz w:val="32"/>
          <w:szCs w:val="32"/>
        </w:rPr>
      </w:pPr>
      <w:r>
        <w:rPr>
          <w:rFonts w:hint="eastAsia"/>
          <w:sz w:val="32"/>
          <w:szCs w:val="32"/>
        </w:rPr>
        <w:t>上海财经大学浙江学院教务处制</w:t>
      </w:r>
    </w:p>
    <w:p>
      <w:pPr>
        <w:jc w:val="center"/>
        <w:rPr>
          <w:sz w:val="32"/>
          <w:szCs w:val="32"/>
        </w:rPr>
      </w:pPr>
      <w:r>
        <w:rPr>
          <w:rFonts w:hint="eastAsia"/>
          <w:sz w:val="32"/>
          <w:szCs w:val="32"/>
        </w:rPr>
        <w:t>2</w:t>
      </w:r>
      <w:r>
        <w:rPr>
          <w:sz w:val="32"/>
          <w:szCs w:val="32"/>
        </w:rPr>
        <w:t>021</w:t>
      </w:r>
      <w:r>
        <w:rPr>
          <w:rFonts w:hint="eastAsia"/>
          <w:sz w:val="32"/>
          <w:szCs w:val="32"/>
        </w:rPr>
        <w:t>年</w:t>
      </w:r>
      <w:r>
        <w:rPr>
          <w:sz w:val="32"/>
          <w:szCs w:val="32"/>
        </w:rPr>
        <w:t>4</w:t>
      </w:r>
      <w:r>
        <w:rPr>
          <w:rFonts w:hint="eastAsia"/>
          <w:sz w:val="32"/>
          <w:szCs w:val="32"/>
        </w:rPr>
        <w:t>月</w:t>
      </w:r>
    </w:p>
    <w:p>
      <w:pPr>
        <w:jc w:val="center"/>
        <w:rPr>
          <w:sz w:val="32"/>
          <w:szCs w:val="32"/>
        </w:rPr>
      </w:pPr>
    </w:p>
    <w:p>
      <w:pPr>
        <w:jc w:val="left"/>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专业基本情况</w:t>
      </w:r>
    </w:p>
    <w:tbl>
      <w:tblPr>
        <w:tblStyle w:val="5"/>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
        <w:gridCol w:w="850"/>
        <w:gridCol w:w="283"/>
        <w:gridCol w:w="280"/>
        <w:gridCol w:w="476"/>
        <w:gridCol w:w="1088"/>
        <w:gridCol w:w="142"/>
        <w:gridCol w:w="709"/>
        <w:gridCol w:w="283"/>
        <w:gridCol w:w="653"/>
        <w:gridCol w:w="379"/>
        <w:gridCol w:w="468"/>
        <w:gridCol w:w="776"/>
        <w:gridCol w:w="701"/>
        <w:gridCol w:w="69"/>
        <w:gridCol w:w="1065"/>
        <w:gridCol w:w="613"/>
        <w:gridCol w:w="52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2" w:type="dxa"/>
            <w:gridSpan w:val="2"/>
            <w:vAlign w:val="center"/>
          </w:tcPr>
          <w:p>
            <w:pPr>
              <w:jc w:val="center"/>
              <w:rPr>
                <w:rFonts w:ascii="仿宋" w:hAnsi="仿宋" w:eastAsia="仿宋"/>
                <w:b/>
                <w:bCs/>
                <w:szCs w:val="21"/>
              </w:rPr>
            </w:pPr>
            <w:r>
              <w:rPr>
                <w:rFonts w:hint="eastAsia" w:ascii="仿宋" w:hAnsi="仿宋" w:eastAsia="仿宋"/>
                <w:b/>
                <w:bCs/>
                <w:szCs w:val="21"/>
              </w:rPr>
              <w:t>负责人</w:t>
            </w:r>
          </w:p>
        </w:tc>
        <w:tc>
          <w:tcPr>
            <w:tcW w:w="1039" w:type="dxa"/>
            <w:gridSpan w:val="3"/>
            <w:vAlign w:val="center"/>
          </w:tcPr>
          <w:p>
            <w:pPr>
              <w:jc w:val="center"/>
              <w:rPr>
                <w:rFonts w:ascii="仿宋" w:hAnsi="仿宋" w:eastAsia="仿宋"/>
                <w:b/>
                <w:bCs/>
                <w:szCs w:val="21"/>
              </w:rPr>
            </w:pPr>
          </w:p>
        </w:tc>
        <w:tc>
          <w:tcPr>
            <w:tcW w:w="1088" w:type="dxa"/>
            <w:vAlign w:val="center"/>
          </w:tcPr>
          <w:p>
            <w:pPr>
              <w:jc w:val="center"/>
              <w:rPr>
                <w:rFonts w:ascii="仿宋" w:hAnsi="仿宋" w:eastAsia="仿宋"/>
                <w:b/>
                <w:bCs/>
                <w:szCs w:val="21"/>
              </w:rPr>
            </w:pPr>
            <w:r>
              <w:rPr>
                <w:rFonts w:hint="eastAsia" w:ascii="仿宋" w:hAnsi="仿宋" w:eastAsia="仿宋"/>
                <w:b/>
                <w:bCs/>
                <w:szCs w:val="21"/>
              </w:rPr>
              <w:t>年龄</w:t>
            </w:r>
          </w:p>
        </w:tc>
        <w:tc>
          <w:tcPr>
            <w:tcW w:w="851" w:type="dxa"/>
            <w:gridSpan w:val="2"/>
            <w:vAlign w:val="center"/>
          </w:tcPr>
          <w:p>
            <w:pPr>
              <w:jc w:val="center"/>
              <w:rPr>
                <w:rFonts w:ascii="仿宋" w:hAnsi="仿宋" w:eastAsia="仿宋"/>
                <w:b/>
                <w:bCs/>
                <w:szCs w:val="21"/>
              </w:rPr>
            </w:pPr>
          </w:p>
        </w:tc>
        <w:tc>
          <w:tcPr>
            <w:tcW w:w="936" w:type="dxa"/>
            <w:gridSpan w:val="2"/>
            <w:vAlign w:val="center"/>
          </w:tcPr>
          <w:p>
            <w:pPr>
              <w:jc w:val="center"/>
              <w:rPr>
                <w:rFonts w:ascii="仿宋" w:hAnsi="仿宋" w:eastAsia="仿宋"/>
                <w:b/>
                <w:bCs/>
                <w:szCs w:val="21"/>
              </w:rPr>
            </w:pPr>
            <w:r>
              <w:rPr>
                <w:rFonts w:hint="eastAsia" w:ascii="仿宋" w:hAnsi="仿宋" w:eastAsia="仿宋"/>
                <w:b/>
                <w:bCs/>
                <w:szCs w:val="21"/>
              </w:rPr>
              <w:t>职称</w:t>
            </w:r>
          </w:p>
        </w:tc>
        <w:tc>
          <w:tcPr>
            <w:tcW w:w="847" w:type="dxa"/>
            <w:gridSpan w:val="2"/>
            <w:vAlign w:val="center"/>
          </w:tcPr>
          <w:p>
            <w:pPr>
              <w:jc w:val="center"/>
              <w:rPr>
                <w:rFonts w:ascii="仿宋" w:hAnsi="仿宋" w:eastAsia="仿宋"/>
                <w:b/>
                <w:bCs/>
                <w:szCs w:val="21"/>
              </w:rPr>
            </w:pPr>
          </w:p>
        </w:tc>
        <w:tc>
          <w:tcPr>
            <w:tcW w:w="776" w:type="dxa"/>
            <w:vAlign w:val="center"/>
          </w:tcPr>
          <w:p>
            <w:pPr>
              <w:jc w:val="center"/>
              <w:rPr>
                <w:rFonts w:ascii="仿宋" w:hAnsi="仿宋" w:eastAsia="仿宋"/>
                <w:b/>
                <w:bCs/>
                <w:szCs w:val="21"/>
              </w:rPr>
            </w:pPr>
            <w:r>
              <w:rPr>
                <w:rFonts w:hint="eastAsia" w:ascii="仿宋" w:hAnsi="仿宋" w:eastAsia="仿宋"/>
                <w:b/>
                <w:bCs/>
                <w:szCs w:val="21"/>
              </w:rPr>
              <w:t>学历</w:t>
            </w:r>
          </w:p>
        </w:tc>
        <w:tc>
          <w:tcPr>
            <w:tcW w:w="701" w:type="dxa"/>
            <w:vAlign w:val="center"/>
          </w:tcPr>
          <w:p>
            <w:pPr>
              <w:jc w:val="center"/>
              <w:rPr>
                <w:rFonts w:ascii="仿宋" w:hAnsi="仿宋" w:eastAsia="仿宋"/>
                <w:b/>
                <w:bCs/>
                <w:szCs w:val="21"/>
              </w:rPr>
            </w:pPr>
          </w:p>
        </w:tc>
        <w:tc>
          <w:tcPr>
            <w:tcW w:w="1134" w:type="dxa"/>
            <w:gridSpan w:val="2"/>
            <w:vAlign w:val="center"/>
          </w:tcPr>
          <w:p>
            <w:pPr>
              <w:jc w:val="center"/>
              <w:rPr>
                <w:rFonts w:ascii="仿宋" w:hAnsi="仿宋" w:eastAsia="仿宋"/>
                <w:b/>
                <w:bCs/>
                <w:szCs w:val="21"/>
              </w:rPr>
            </w:pPr>
            <w:r>
              <w:rPr>
                <w:rFonts w:hint="eastAsia" w:ascii="仿宋" w:hAnsi="仿宋" w:eastAsia="仿宋"/>
                <w:b/>
                <w:bCs/>
                <w:szCs w:val="21"/>
              </w:rPr>
              <w:t>毕业学校</w:t>
            </w:r>
          </w:p>
        </w:tc>
        <w:tc>
          <w:tcPr>
            <w:tcW w:w="1701" w:type="dxa"/>
            <w:gridSpan w:val="3"/>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55" w:type="dxa"/>
            <w:gridSpan w:val="4"/>
            <w:vAlign w:val="center"/>
          </w:tcPr>
          <w:p>
            <w:pPr>
              <w:jc w:val="center"/>
              <w:rPr>
                <w:rFonts w:ascii="仿宋" w:hAnsi="仿宋" w:eastAsia="仿宋"/>
                <w:b/>
                <w:bCs/>
                <w:szCs w:val="21"/>
              </w:rPr>
            </w:pPr>
            <w:r>
              <w:rPr>
                <w:rFonts w:hint="eastAsia" w:ascii="仿宋" w:hAnsi="仿宋" w:eastAsia="仿宋"/>
                <w:b/>
                <w:bCs/>
                <w:szCs w:val="21"/>
              </w:rPr>
              <w:t>专业设立时间</w:t>
            </w:r>
          </w:p>
        </w:tc>
        <w:tc>
          <w:tcPr>
            <w:tcW w:w="1564" w:type="dxa"/>
            <w:gridSpan w:val="2"/>
          </w:tcPr>
          <w:p>
            <w:pPr>
              <w:jc w:val="center"/>
              <w:rPr>
                <w:rFonts w:ascii="仿宋" w:hAnsi="仿宋" w:eastAsia="仿宋"/>
                <w:b/>
                <w:bCs/>
                <w:szCs w:val="21"/>
              </w:rPr>
            </w:pPr>
          </w:p>
        </w:tc>
        <w:tc>
          <w:tcPr>
            <w:tcW w:w="2166" w:type="dxa"/>
            <w:gridSpan w:val="5"/>
            <w:vAlign w:val="center"/>
          </w:tcPr>
          <w:p>
            <w:pPr>
              <w:jc w:val="center"/>
              <w:rPr>
                <w:rFonts w:ascii="仿宋" w:hAnsi="仿宋" w:eastAsia="仿宋"/>
                <w:b/>
                <w:bCs/>
                <w:szCs w:val="21"/>
              </w:rPr>
            </w:pPr>
            <w:r>
              <w:rPr>
                <w:rFonts w:hint="eastAsia" w:ascii="仿宋" w:hAnsi="仿宋" w:eastAsia="仿宋"/>
                <w:b/>
                <w:bCs/>
                <w:szCs w:val="21"/>
              </w:rPr>
              <w:t>已累计毕业学生数</w:t>
            </w:r>
          </w:p>
        </w:tc>
        <w:tc>
          <w:tcPr>
            <w:tcW w:w="1244" w:type="dxa"/>
            <w:gridSpan w:val="2"/>
            <w:vAlign w:val="center"/>
          </w:tcPr>
          <w:p>
            <w:pPr>
              <w:jc w:val="center"/>
              <w:rPr>
                <w:rFonts w:ascii="仿宋" w:hAnsi="仿宋" w:eastAsia="仿宋"/>
                <w:b/>
                <w:bCs/>
                <w:szCs w:val="21"/>
              </w:rPr>
            </w:pPr>
          </w:p>
        </w:tc>
        <w:tc>
          <w:tcPr>
            <w:tcW w:w="2448" w:type="dxa"/>
            <w:gridSpan w:val="4"/>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020</w:t>
            </w:r>
            <w:r>
              <w:rPr>
                <w:rFonts w:hint="eastAsia" w:ascii="仿宋" w:hAnsi="仿宋" w:eastAsia="仿宋"/>
                <w:b/>
                <w:bCs/>
                <w:szCs w:val="21"/>
              </w:rPr>
              <w:t>级学生数</w:t>
            </w:r>
          </w:p>
        </w:tc>
        <w:tc>
          <w:tcPr>
            <w:tcW w:w="1088" w:type="dxa"/>
            <w:gridSpan w:val="2"/>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31" w:type="dxa"/>
            <w:gridSpan w:val="5"/>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019</w:t>
            </w:r>
            <w:r>
              <w:rPr>
                <w:rFonts w:hint="eastAsia" w:ascii="仿宋" w:hAnsi="仿宋" w:eastAsia="仿宋"/>
                <w:b/>
                <w:bCs/>
                <w:szCs w:val="21"/>
              </w:rPr>
              <w:t>级学生数</w:t>
            </w:r>
          </w:p>
        </w:tc>
        <w:tc>
          <w:tcPr>
            <w:tcW w:w="1939" w:type="dxa"/>
            <w:gridSpan w:val="3"/>
          </w:tcPr>
          <w:p>
            <w:pPr>
              <w:jc w:val="center"/>
              <w:rPr>
                <w:rFonts w:ascii="仿宋" w:hAnsi="仿宋" w:eastAsia="仿宋"/>
                <w:b/>
                <w:bCs/>
                <w:szCs w:val="21"/>
              </w:rPr>
            </w:pPr>
          </w:p>
        </w:tc>
        <w:tc>
          <w:tcPr>
            <w:tcW w:w="1783" w:type="dxa"/>
            <w:gridSpan w:val="4"/>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018</w:t>
            </w:r>
            <w:r>
              <w:rPr>
                <w:rFonts w:hint="eastAsia" w:ascii="仿宋" w:hAnsi="仿宋" w:eastAsia="仿宋"/>
                <w:b/>
                <w:bCs/>
                <w:szCs w:val="21"/>
              </w:rPr>
              <w:t>级学生数</w:t>
            </w:r>
          </w:p>
        </w:tc>
        <w:tc>
          <w:tcPr>
            <w:tcW w:w="1546" w:type="dxa"/>
            <w:gridSpan w:val="3"/>
            <w:vAlign w:val="center"/>
          </w:tcPr>
          <w:p>
            <w:pPr>
              <w:jc w:val="center"/>
              <w:rPr>
                <w:rFonts w:ascii="仿宋" w:hAnsi="仿宋" w:eastAsia="仿宋"/>
                <w:b/>
                <w:bCs/>
                <w:szCs w:val="21"/>
              </w:rPr>
            </w:pPr>
          </w:p>
        </w:tc>
        <w:tc>
          <w:tcPr>
            <w:tcW w:w="1678" w:type="dxa"/>
            <w:gridSpan w:val="2"/>
            <w:vAlign w:val="center"/>
          </w:tcPr>
          <w:p>
            <w:pPr>
              <w:jc w:val="center"/>
              <w:rPr>
                <w:rFonts w:ascii="仿宋" w:hAnsi="仿宋" w:eastAsia="仿宋"/>
                <w:b/>
                <w:bCs/>
                <w:szCs w:val="21"/>
              </w:rPr>
            </w:pPr>
            <w:r>
              <w:rPr>
                <w:rFonts w:hint="eastAsia" w:ascii="仿宋" w:hAnsi="仿宋" w:eastAsia="仿宋"/>
                <w:b/>
                <w:bCs/>
                <w:szCs w:val="21"/>
              </w:rPr>
              <w:t>2</w:t>
            </w:r>
            <w:r>
              <w:rPr>
                <w:rFonts w:ascii="仿宋" w:hAnsi="仿宋" w:eastAsia="仿宋"/>
                <w:b/>
                <w:bCs/>
                <w:szCs w:val="21"/>
              </w:rPr>
              <w:t>017</w:t>
            </w:r>
            <w:r>
              <w:rPr>
                <w:rFonts w:hint="eastAsia" w:ascii="仿宋" w:hAnsi="仿宋" w:eastAsia="仿宋"/>
                <w:b/>
                <w:bCs/>
                <w:szCs w:val="21"/>
              </w:rPr>
              <w:t>级学生数</w:t>
            </w:r>
          </w:p>
        </w:tc>
        <w:tc>
          <w:tcPr>
            <w:tcW w:w="1088" w:type="dxa"/>
            <w:gridSpan w:val="2"/>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65" w:type="dxa"/>
            <w:gridSpan w:val="19"/>
            <w:vAlign w:val="center"/>
          </w:tcPr>
          <w:p>
            <w:pPr>
              <w:rPr>
                <w:rFonts w:ascii="仿宋" w:hAnsi="仿宋" w:eastAsia="仿宋"/>
                <w:b/>
                <w:bCs/>
                <w:szCs w:val="21"/>
              </w:rPr>
            </w:pPr>
            <w:r>
              <w:rPr>
                <w:rFonts w:hint="eastAsia" w:ascii="仿宋" w:hAnsi="仿宋" w:eastAsia="仿宋"/>
                <w:b/>
                <w:bCs/>
                <w:szCs w:val="21"/>
              </w:rPr>
              <w:t>专业教师队伍情况：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rFonts w:ascii="仿宋" w:hAnsi="仿宋" w:eastAsia="仿宋"/>
                <w:b/>
                <w:bCs/>
                <w:szCs w:val="21"/>
              </w:rPr>
            </w:pPr>
            <w:r>
              <w:rPr>
                <w:rFonts w:hint="eastAsia" w:ascii="仿宋" w:hAnsi="仿宋" w:eastAsia="仿宋"/>
                <w:b/>
                <w:bCs/>
                <w:szCs w:val="21"/>
              </w:rPr>
              <w:t>姓名</w:t>
            </w:r>
          </w:p>
        </w:tc>
        <w:tc>
          <w:tcPr>
            <w:tcW w:w="756" w:type="dxa"/>
            <w:gridSpan w:val="2"/>
            <w:vAlign w:val="center"/>
          </w:tcPr>
          <w:p>
            <w:pPr>
              <w:jc w:val="center"/>
              <w:rPr>
                <w:rFonts w:ascii="仿宋" w:hAnsi="仿宋" w:eastAsia="仿宋"/>
                <w:b/>
                <w:bCs/>
                <w:szCs w:val="21"/>
              </w:rPr>
            </w:pPr>
            <w:r>
              <w:rPr>
                <w:rFonts w:hint="eastAsia" w:ascii="仿宋" w:hAnsi="仿宋" w:eastAsia="仿宋"/>
                <w:b/>
                <w:bCs/>
                <w:szCs w:val="21"/>
              </w:rPr>
              <w:t>年龄</w:t>
            </w:r>
          </w:p>
        </w:tc>
        <w:tc>
          <w:tcPr>
            <w:tcW w:w="1230" w:type="dxa"/>
            <w:gridSpan w:val="2"/>
            <w:vAlign w:val="center"/>
          </w:tcPr>
          <w:p>
            <w:pPr>
              <w:jc w:val="center"/>
              <w:rPr>
                <w:rFonts w:ascii="仿宋" w:hAnsi="仿宋" w:eastAsia="仿宋"/>
                <w:b/>
                <w:bCs/>
                <w:szCs w:val="21"/>
              </w:rPr>
            </w:pPr>
            <w:r>
              <w:rPr>
                <w:rFonts w:hint="eastAsia" w:ascii="仿宋" w:hAnsi="仿宋" w:eastAsia="仿宋"/>
                <w:b/>
                <w:bCs/>
                <w:szCs w:val="21"/>
              </w:rPr>
              <w:t>职称</w:t>
            </w:r>
          </w:p>
        </w:tc>
        <w:tc>
          <w:tcPr>
            <w:tcW w:w="992" w:type="dxa"/>
            <w:gridSpan w:val="2"/>
            <w:vAlign w:val="center"/>
          </w:tcPr>
          <w:p>
            <w:pPr>
              <w:jc w:val="center"/>
              <w:rPr>
                <w:rFonts w:ascii="仿宋" w:hAnsi="仿宋" w:eastAsia="仿宋"/>
                <w:b/>
                <w:bCs/>
                <w:szCs w:val="21"/>
              </w:rPr>
            </w:pPr>
            <w:r>
              <w:rPr>
                <w:rFonts w:hint="eastAsia" w:ascii="仿宋" w:hAnsi="仿宋" w:eastAsia="仿宋"/>
                <w:b/>
                <w:bCs/>
                <w:szCs w:val="21"/>
              </w:rPr>
              <w:t>学位</w:t>
            </w:r>
          </w:p>
        </w:tc>
        <w:tc>
          <w:tcPr>
            <w:tcW w:w="5812" w:type="dxa"/>
            <w:gridSpan w:val="10"/>
            <w:vAlign w:val="center"/>
          </w:tcPr>
          <w:p>
            <w:pPr>
              <w:jc w:val="center"/>
              <w:rPr>
                <w:rFonts w:ascii="仿宋" w:hAnsi="仿宋" w:eastAsia="仿宋"/>
                <w:b/>
                <w:bCs/>
                <w:szCs w:val="21"/>
              </w:rPr>
            </w:pPr>
            <w:r>
              <w:rPr>
                <w:rFonts w:hint="eastAsia" w:ascii="仿宋" w:hAnsi="仿宋" w:eastAsia="仿宋"/>
                <w:b/>
                <w:bCs/>
                <w:szCs w:val="21"/>
              </w:rPr>
              <w:t>承担教学任务的主要课程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5" w:type="dxa"/>
            <w:gridSpan w:val="3"/>
            <w:vAlign w:val="center"/>
          </w:tcPr>
          <w:p>
            <w:pPr>
              <w:jc w:val="center"/>
              <w:rPr>
                <w:szCs w:val="21"/>
              </w:rPr>
            </w:pPr>
          </w:p>
        </w:tc>
        <w:tc>
          <w:tcPr>
            <w:tcW w:w="756" w:type="dxa"/>
            <w:gridSpan w:val="2"/>
            <w:vAlign w:val="center"/>
          </w:tcPr>
          <w:p>
            <w:pPr>
              <w:jc w:val="center"/>
              <w:rPr>
                <w:szCs w:val="21"/>
              </w:rPr>
            </w:pPr>
          </w:p>
        </w:tc>
        <w:tc>
          <w:tcPr>
            <w:tcW w:w="1230" w:type="dxa"/>
            <w:gridSpan w:val="2"/>
            <w:vAlign w:val="center"/>
          </w:tcPr>
          <w:p>
            <w:pPr>
              <w:jc w:val="center"/>
              <w:rPr>
                <w:szCs w:val="21"/>
              </w:rPr>
            </w:pPr>
          </w:p>
        </w:tc>
        <w:tc>
          <w:tcPr>
            <w:tcW w:w="992" w:type="dxa"/>
            <w:gridSpan w:val="2"/>
            <w:vAlign w:val="center"/>
          </w:tcPr>
          <w:p>
            <w:pPr>
              <w:jc w:val="center"/>
              <w:rPr>
                <w:szCs w:val="21"/>
              </w:rPr>
            </w:pPr>
          </w:p>
        </w:tc>
        <w:tc>
          <w:tcPr>
            <w:tcW w:w="5812" w:type="dxa"/>
            <w:gridSpan w:val="1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widowControl/>
              <w:spacing w:line="600" w:lineRule="exact"/>
              <w:jc w:val="both"/>
              <w:rPr>
                <w:szCs w:val="21"/>
              </w:rPr>
            </w:pPr>
            <w:r>
              <w:rPr>
                <w:rFonts w:hint="eastAsia" w:ascii="仿宋" w:hAnsi="仿宋" w:eastAsia="仿宋"/>
                <w:b/>
                <w:bCs/>
                <w:sz w:val="28"/>
                <w:szCs w:val="28"/>
              </w:rPr>
              <w:t>2.对照“一流专业培育与建设实施方案（2020年—2023年）”</w:t>
            </w:r>
            <w:r>
              <w:rPr>
                <w:rFonts w:hint="eastAsia" w:ascii="仿宋" w:hAnsi="仿宋" w:eastAsia="仿宋"/>
                <w:b/>
                <w:bCs/>
                <w:sz w:val="28"/>
                <w:szCs w:val="28"/>
                <w:lang w:eastAsia="zh-CN"/>
              </w:rPr>
              <w:t>中的验收指标</w:t>
            </w:r>
            <w:r>
              <w:rPr>
                <w:rFonts w:hint="eastAsia" w:ascii="仿宋" w:hAnsi="仿宋" w:eastAsia="仿宋"/>
                <w:b/>
                <w:bCs/>
                <w:sz w:val="28"/>
                <w:szCs w:val="28"/>
              </w:rPr>
              <w:t>，已取得的成就。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jc w:val="left"/>
              <w:rPr>
                <w:szCs w:val="21"/>
              </w:rPr>
            </w:pPr>
            <w:r>
              <w:rPr>
                <w:rFonts w:ascii="仿宋" w:hAnsi="仿宋" w:eastAsia="仿宋"/>
                <w:b/>
                <w:bCs/>
                <w:sz w:val="28"/>
                <w:szCs w:val="28"/>
              </w:rPr>
              <w:t xml:space="preserve">3. </w:t>
            </w:r>
            <w:r>
              <w:rPr>
                <w:rFonts w:hint="eastAsia" w:ascii="仿宋" w:hAnsi="仿宋" w:eastAsia="仿宋"/>
                <w:b/>
                <w:bCs/>
                <w:sz w:val="28"/>
                <w:szCs w:val="28"/>
              </w:rPr>
              <w:t>存在的主要问题。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jc w:val="left"/>
              <w:rPr>
                <w:szCs w:val="21"/>
              </w:rPr>
            </w:pPr>
            <w:r>
              <w:rPr>
                <w:rFonts w:ascii="仿宋" w:hAnsi="仿宋" w:eastAsia="仿宋"/>
                <w:b/>
                <w:bCs/>
                <w:sz w:val="28"/>
                <w:szCs w:val="28"/>
              </w:rPr>
              <w:t xml:space="preserve">4. </w:t>
            </w:r>
            <w:r>
              <w:rPr>
                <w:rFonts w:hint="eastAsia" w:ascii="仿宋" w:hAnsi="仿宋" w:eastAsia="仿宋"/>
                <w:b/>
                <w:bCs/>
                <w:sz w:val="28"/>
                <w:szCs w:val="28"/>
              </w:rPr>
              <w:t>下一步的目标、对策及拟采取的措施。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42" w:type="dxa"/>
          <w:wAfter w:w="567" w:type="dxa"/>
          <w:trHeight w:val="12686" w:hRule="atLeast"/>
        </w:trPr>
        <w:tc>
          <w:tcPr>
            <w:tcW w:w="9356" w:type="dxa"/>
            <w:gridSpan w:val="17"/>
          </w:tcPr>
          <w:p>
            <w:pPr>
              <w:numPr>
                <w:ilvl w:val="0"/>
                <w:numId w:val="1"/>
              </w:numPr>
              <w:jc w:val="left"/>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经费使用情况（已使用金额、用途）</w:t>
            </w:r>
          </w:p>
        </w:tc>
      </w:tr>
    </w:tbl>
    <w:p>
      <w:pPr>
        <w:jc w:val="left"/>
        <w:rPr>
          <w:sz w:val="32"/>
          <w:szCs w:val="32"/>
        </w:rPr>
      </w:pPr>
    </w:p>
    <w:p>
      <w:pPr>
        <w:jc w:val="left"/>
        <w:rPr>
          <w:sz w:val="32"/>
          <w:szCs w:val="32"/>
        </w:rPr>
      </w:pPr>
    </w:p>
    <w:p>
      <w:pPr>
        <w:widowControl/>
        <w:spacing w:line="600" w:lineRule="exact"/>
        <w:jc w:val="left"/>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附：</w:t>
      </w:r>
    </w:p>
    <w:p>
      <w:pPr>
        <w:widowControl/>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上海财经大学浙江学院一流专业</w:t>
      </w:r>
    </w:p>
    <w:p>
      <w:pPr>
        <w:widowControl/>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培育与建设实施方案（2020年—2023年）</w:t>
      </w:r>
    </w:p>
    <w:p>
      <w:pPr>
        <w:widowControl/>
        <w:spacing w:before="312" w:beforeLines="100"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为切实提高我院的办学水平，加强专业建设，拟通过培育建设若干一流专业，提升我院的人才培养质量，特制定本方案。</w:t>
      </w:r>
    </w:p>
    <w:p>
      <w:pPr>
        <w:widowContro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一、建设目标</w:t>
      </w:r>
    </w:p>
    <w:p>
      <w:pPr>
        <w:widowControl/>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到2023年，遴选5个左右院级一流专业点进行重点培育与建设，力争进入省级一流专业建设点1-3个。</w:t>
      </w:r>
    </w:p>
    <w:p>
      <w:pPr>
        <w:widowContro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二、建设原则</w:t>
      </w:r>
    </w:p>
    <w:p>
      <w:pPr>
        <w:widowControl/>
        <w:spacing w:line="560" w:lineRule="exact"/>
        <w:ind w:firstLine="640" w:firstLineChars="200"/>
        <w:rPr>
          <w:rFonts w:hint="eastAsia" w:ascii="仿宋_GB2312" w:hAnsi="仿宋" w:eastAsia="仿宋_GB2312"/>
          <w:color w:val="000000"/>
          <w:kern w:val="0"/>
          <w:sz w:val="32"/>
          <w:szCs w:val="32"/>
        </w:rPr>
      </w:pPr>
      <w:r>
        <w:rPr>
          <w:rFonts w:hint="eastAsia" w:ascii="楷体_GB2312" w:hAnsi="楷体" w:eastAsia="楷体_GB2312"/>
          <w:color w:val="000000"/>
          <w:sz w:val="32"/>
          <w:szCs w:val="32"/>
        </w:rPr>
        <w:t>（一）优质发展，辐射带动。</w:t>
      </w:r>
      <w:r>
        <w:rPr>
          <w:rFonts w:hint="eastAsia" w:ascii="仿宋_GB2312" w:hAnsi="仿宋" w:eastAsia="仿宋_GB2312"/>
          <w:color w:val="000000"/>
          <w:kern w:val="0"/>
          <w:sz w:val="32"/>
          <w:szCs w:val="32"/>
        </w:rPr>
        <w:t>优先遴选基础好、师资强，且具有一定办学特色的专业，由专业所在系整合资源，优化专业结构，办出专业特色，提升人才培养水平和综合实力。发挥一流专业建设的辐射作用，通过一流专业建设带动其它相关专业的建设。</w:t>
      </w:r>
    </w:p>
    <w:p>
      <w:pPr>
        <w:widowControl/>
        <w:spacing w:line="560" w:lineRule="exact"/>
        <w:ind w:firstLine="640" w:firstLineChars="200"/>
        <w:rPr>
          <w:rFonts w:hint="eastAsia" w:ascii="仿宋_GB2312" w:hAnsi="仿宋" w:eastAsia="仿宋_GB2312"/>
          <w:color w:val="000000"/>
          <w:kern w:val="0"/>
          <w:sz w:val="32"/>
          <w:szCs w:val="32"/>
        </w:rPr>
      </w:pPr>
      <w:r>
        <w:rPr>
          <w:rFonts w:hint="eastAsia" w:ascii="楷体_GB2312" w:hAnsi="楷体" w:eastAsia="楷体_GB2312"/>
          <w:color w:val="000000"/>
          <w:sz w:val="32"/>
          <w:szCs w:val="32"/>
        </w:rPr>
        <w:t>（二）成果引领，动态调整。</w:t>
      </w:r>
      <w:r>
        <w:rPr>
          <w:rFonts w:hint="eastAsia" w:ascii="仿宋_GB2312" w:hAnsi="仿宋" w:eastAsia="仿宋_GB2312"/>
          <w:color w:val="000000"/>
          <w:kern w:val="0"/>
          <w:sz w:val="32"/>
          <w:szCs w:val="32"/>
        </w:rPr>
        <w:t>以标志性、高质量教学和科研成果作为一流专业遴选、建设和认定的主要标准，实行年度检查和动态调整机制，淘汰达不到目标的专业建设点，确保建设成效。</w:t>
      </w:r>
    </w:p>
    <w:p>
      <w:pPr>
        <w:widowContro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三、建设内容</w:t>
      </w:r>
    </w:p>
    <w:p>
      <w:pPr>
        <w:widowControl/>
        <w:spacing w:line="560" w:lineRule="exact"/>
        <w:ind w:firstLine="640" w:firstLineChars="200"/>
        <w:rPr>
          <w:rFonts w:hint="eastAsia" w:ascii="楷体_GB2312" w:hAnsi="仿宋" w:eastAsia="楷体_GB2312"/>
          <w:color w:val="000000"/>
          <w:kern w:val="0"/>
          <w:sz w:val="32"/>
          <w:szCs w:val="32"/>
        </w:rPr>
      </w:pPr>
      <w:r>
        <w:rPr>
          <w:rFonts w:hint="eastAsia" w:ascii="楷体_GB2312" w:hAnsi="楷体" w:eastAsia="楷体_GB2312"/>
          <w:color w:val="000000"/>
          <w:sz w:val="32"/>
          <w:szCs w:val="32"/>
        </w:rPr>
        <w:t>（一）紧扣专业定位，创新应用型人才培养体系。</w:t>
      </w:r>
      <w:r>
        <w:rPr>
          <w:rFonts w:hint="eastAsia" w:ascii="仿宋_GB2312" w:hAnsi="仿宋" w:eastAsia="仿宋_GB2312"/>
          <w:color w:val="000000"/>
          <w:kern w:val="0"/>
          <w:sz w:val="32"/>
          <w:szCs w:val="32"/>
        </w:rPr>
        <w:t>明确专业定位，挖掘专业特色，彰显专业优势。对标《普通高等学校本科专业类教学质量国家标准》，科学论证并清晰人才培养目标和毕业生的素质要求，建立并落实校企合作参与制定人才培养方案的工作机制，人才培养的知识、能力、素质有明确的质量标准，适应产业发展需要，教学计划与培养目标相适应。将思想政治教育、创新创业教育融入专业人才培养的全过程。积极探索学生主动学习等教学方法改革。关注学生不同特点和个性差异，因材施教，培养高素质应用型人才。</w:t>
      </w:r>
    </w:p>
    <w:p>
      <w:pPr>
        <w:widowControl/>
        <w:spacing w:line="560" w:lineRule="exact"/>
        <w:ind w:firstLine="640" w:firstLineChars="200"/>
        <w:rPr>
          <w:rFonts w:hint="eastAsia" w:ascii="仿宋_GB2312" w:hAnsi="仿宋" w:eastAsia="仿宋_GB2312"/>
          <w:color w:val="000000"/>
          <w:kern w:val="0"/>
          <w:sz w:val="32"/>
          <w:szCs w:val="32"/>
        </w:rPr>
      </w:pPr>
      <w:r>
        <w:rPr>
          <w:rFonts w:hint="eastAsia" w:ascii="楷体_GB2312" w:hAnsi="楷体" w:eastAsia="楷体_GB2312"/>
          <w:color w:val="000000"/>
          <w:sz w:val="32"/>
          <w:szCs w:val="32"/>
        </w:rPr>
        <w:t>（二）加强教师队伍建设，培养高水平师资。</w:t>
      </w:r>
      <w:r>
        <w:rPr>
          <w:rFonts w:hint="eastAsia" w:ascii="仿宋_GB2312" w:hAnsi="仿宋" w:eastAsia="仿宋_GB2312"/>
          <w:color w:val="000000"/>
          <w:kern w:val="0"/>
          <w:sz w:val="32"/>
          <w:szCs w:val="32"/>
        </w:rPr>
        <w:t>用足用好学院的政策，通过全职引进、柔性引进等多种方式，引进若干高水平教师。充分发挥教学名师的作用，借助教学团队等形式，培养一批有较高教学水平的教师，不断优化专业教师结构，建设一支师德良好、数量充足、结构合理的教师队伍。</w:t>
      </w:r>
    </w:p>
    <w:p>
      <w:pPr>
        <w:widowControl/>
        <w:spacing w:line="560" w:lineRule="exact"/>
        <w:ind w:firstLine="640" w:firstLineChars="200"/>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加强教研室等基层教学组织的建设，健全教学研讨、二级教学督导等教学管理制度，建立专业负责人、课程负责人机制。强化师德监督，引导教师以德立身，以德立学，以德施教。鼓励与业界合作组建产学研双师型教师团队。</w:t>
      </w:r>
    </w:p>
    <w:p>
      <w:pPr>
        <w:pStyle w:val="3"/>
        <w:spacing w:before="0" w:beforeAutospacing="0" w:after="0" w:afterAutospacing="0" w:line="560" w:lineRule="exact"/>
        <w:ind w:firstLine="640" w:firstLineChars="200"/>
        <w:jc w:val="both"/>
        <w:rPr>
          <w:rFonts w:hint="eastAsia" w:ascii="仿宋_GB2312" w:hAnsi="仿宋" w:eastAsia="仿宋_GB2312" w:cs="Times New Roman"/>
          <w:color w:val="000000"/>
          <w:sz w:val="32"/>
          <w:szCs w:val="32"/>
        </w:rPr>
      </w:pPr>
      <w:r>
        <w:rPr>
          <w:rFonts w:hint="eastAsia" w:ascii="楷体_GB2312" w:hAnsi="楷体" w:eastAsia="楷体_GB2312" w:cs="Times New Roman"/>
          <w:color w:val="000000"/>
          <w:sz w:val="32"/>
          <w:szCs w:val="32"/>
        </w:rPr>
        <w:t>（三）</w:t>
      </w:r>
      <w:r>
        <w:rPr>
          <w:rFonts w:hint="eastAsia" w:ascii="楷体_GB2312" w:hAnsi="楷体" w:eastAsia="楷体_GB2312" w:cs="Times New Roman"/>
          <w:color w:val="000000"/>
          <w:kern w:val="2"/>
          <w:sz w:val="32"/>
          <w:szCs w:val="32"/>
        </w:rPr>
        <w:t>加强实习实训平台建设，提高学生实践应用能力。</w:t>
      </w:r>
      <w:r>
        <w:rPr>
          <w:rFonts w:hint="eastAsia" w:ascii="仿宋_GB2312" w:hAnsi="仿宋" w:eastAsia="仿宋_GB2312" w:cs="Times New Roman"/>
          <w:color w:val="000000"/>
          <w:sz w:val="32"/>
          <w:szCs w:val="32"/>
        </w:rPr>
        <w:t>充</w:t>
      </w:r>
    </w:p>
    <w:p>
      <w:pPr>
        <w:pStyle w:val="3"/>
        <w:spacing w:before="0" w:beforeAutospacing="0" w:after="0" w:afterAutospacing="0" w:line="560" w:lineRule="exact"/>
        <w:jc w:val="both"/>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分利用现有的实验教学平台，提高教学软件、实验室使用率；强化3-5门创新性、设计性实验课程的建设；注重实践教学过程管理，强化实践教学质量，提高学生应用操作能力及教师的实践教学水平。积极拓展校外实习实训基地，探索与相关政府部门、行业企业的协同育人机制，推行实习+就业模式，实现与用人单位融合发展。</w:t>
      </w:r>
    </w:p>
    <w:p>
      <w:pPr>
        <w:widowControl/>
        <w:spacing w:line="560" w:lineRule="exact"/>
        <w:ind w:firstLine="640" w:firstLineChars="200"/>
        <w:rPr>
          <w:rFonts w:hint="eastAsia" w:ascii="仿宋_GB2312" w:eastAsia="仿宋_GB2312"/>
          <w:color w:val="1B1B1B"/>
          <w:szCs w:val="21"/>
        </w:rPr>
      </w:pPr>
      <w:r>
        <w:rPr>
          <w:rFonts w:hint="eastAsia" w:ascii="楷体_GB2312" w:hAnsi="楷体" w:eastAsia="楷体_GB2312"/>
          <w:color w:val="000000"/>
          <w:sz w:val="32"/>
          <w:szCs w:val="32"/>
        </w:rPr>
        <w:t>（四）着力课程资源建设，推进课堂教学革命。</w:t>
      </w:r>
      <w:r>
        <w:rPr>
          <w:rFonts w:hint="eastAsia" w:ascii="仿宋_GB2312" w:hAnsi="仿宋" w:eastAsia="仿宋_GB2312"/>
          <w:color w:val="000000"/>
          <w:sz w:val="32"/>
          <w:szCs w:val="32"/>
        </w:rPr>
        <w:t>构建富有特色的课程体系。坚持以国家级、省级在线精品开放课程、院级精品课程建设为抓手，以信息技术为支撑，优化教学内容，丰富教学资源，改革教学方法，创新考核方式，全面提升课程质量，全力打造金课，发挥金课的示范引领作用。科学设计课程考核内容和方式，健全能力与</w:t>
      </w:r>
      <w:r>
        <w:rPr>
          <w:rFonts w:hint="eastAsia" w:ascii="仿宋_GB2312" w:hAnsi="楷体" w:eastAsia="仿宋_GB2312"/>
          <w:bCs/>
          <w:color w:val="000000"/>
          <w:sz w:val="32"/>
          <w:szCs w:val="32"/>
        </w:rPr>
        <w:t>知识</w:t>
      </w:r>
      <w:r>
        <w:rPr>
          <w:rFonts w:hint="eastAsia" w:ascii="仿宋_GB2312" w:hAnsi="仿宋" w:eastAsia="仿宋_GB2312"/>
          <w:color w:val="000000"/>
          <w:sz w:val="32"/>
          <w:szCs w:val="32"/>
        </w:rPr>
        <w:t>考核并重的学业考核评价体系。</w:t>
      </w:r>
    </w:p>
    <w:p>
      <w:pPr>
        <w:widowControl/>
        <w:spacing w:line="560" w:lineRule="exact"/>
        <w:ind w:firstLine="640" w:firstLineChars="200"/>
        <w:rPr>
          <w:rFonts w:hint="eastAsia" w:ascii="仿宋_GB2312" w:hAnsi="仿宋" w:eastAsia="仿宋_GB2312"/>
          <w:color w:val="000000"/>
          <w:sz w:val="32"/>
          <w:szCs w:val="32"/>
        </w:rPr>
      </w:pPr>
      <w:r>
        <w:rPr>
          <w:rFonts w:hint="eastAsia" w:ascii="楷体_GB2312" w:hAnsi="楷体" w:eastAsia="楷体_GB2312"/>
          <w:color w:val="000000"/>
          <w:sz w:val="32"/>
          <w:szCs w:val="32"/>
        </w:rPr>
        <w:t>（五）加强专业质量建设，构建专业持续改进机制。</w:t>
      </w:r>
      <w:r>
        <w:rPr>
          <w:rFonts w:hint="eastAsia" w:ascii="仿宋_GB2312" w:hAnsi="仿宋" w:eastAsia="仿宋_GB2312"/>
          <w:color w:val="000000"/>
          <w:sz w:val="32"/>
          <w:szCs w:val="32"/>
        </w:rPr>
        <w:t>建立健全专业建设的自查自纠质量保障机制，并持续有效实施。对照《普通高等学校本科专业类教学质量国家标准》和有关行业标准，根据办学实际和发展目标，推进专业自评。积极开展专业认证，促进专业办出特色、办出水平。构建用人单位、行业等参与的社会评价机制，对培养目标的达成度进行定期评价，并有持续改进的相关机制，推进专业的持续良性发展。</w:t>
      </w:r>
    </w:p>
    <w:p>
      <w:pPr>
        <w:widowControl/>
        <w:spacing w:line="560" w:lineRule="exact"/>
        <w:ind w:firstLine="640" w:firstLineChars="200"/>
        <w:rPr>
          <w:rFonts w:hint="eastAsia" w:ascii="仿宋_GB2312" w:hAnsi="仿宋" w:eastAsia="仿宋_GB2312"/>
          <w:color w:val="000000"/>
          <w:sz w:val="32"/>
          <w:szCs w:val="32"/>
        </w:rPr>
      </w:pPr>
      <w:r>
        <w:rPr>
          <w:rFonts w:hint="eastAsia" w:ascii="楷体_GB2312" w:hAnsi="楷体" w:eastAsia="楷体_GB2312"/>
          <w:color w:val="000000"/>
          <w:sz w:val="32"/>
          <w:szCs w:val="32"/>
        </w:rPr>
        <w:t>（六）深化教育教学改革，培育高水平教学成果。</w:t>
      </w:r>
      <w:r>
        <w:rPr>
          <w:rFonts w:hint="eastAsia" w:ascii="仿宋_GB2312" w:hAnsi="仿宋" w:eastAsia="仿宋_GB2312"/>
          <w:color w:val="000000"/>
          <w:sz w:val="32"/>
          <w:szCs w:val="32"/>
        </w:rPr>
        <w:t>紧扣高等教育发展的前沿，围绕专业建设中的热点、难点和关键问题，有计划地推进教育教学改革，积极组织教师参与教育教学改革项目，精心培育和凝练高水平的教学成果，发挥教学成果的示范效应，以成果引导专业教师深入开展教学改革，以成果带动专业建设水平的整体提升。</w:t>
      </w:r>
    </w:p>
    <w:p>
      <w:pPr>
        <w:widowContro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四、主要验收指标</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（一）专业建设水平显著提升，建设期内达成以下目标之一：</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1.获批浙江省级一流专业；</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2.新增1项省级教学成果奖,或至少有2项省级及以上教学或科研课题立项。</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（二）建设和引进一批优质课程资源，建设期内需要达成以下目标中的至少两项：</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1.新增至少1门院级在线开放精品课程；</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2.新增至少1门院级课程思政示范课；</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3.新增省级及以上规划教材1部。</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（三）人才培养模式进一步优化，实践教学水平进一步提升，建设期内需要达成以下目标中的至少两项：</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Calibri" w:eastAsia="仿宋_GB2312" w:cs="Calibri"/>
          <w:color w:val="000000"/>
          <w:sz w:val="32"/>
          <w:szCs w:val="32"/>
        </w:rPr>
        <w:t>与地方或行业企业</w:t>
      </w:r>
      <w:r>
        <w:rPr>
          <w:rFonts w:hint="eastAsia" w:ascii="仿宋_GB2312" w:hAnsi="仿宋" w:eastAsia="仿宋_GB2312"/>
          <w:color w:val="000000"/>
          <w:sz w:val="32"/>
          <w:szCs w:val="32"/>
        </w:rPr>
        <w:t>协同育人，构建适应行业发展、富有特色的课程体系；</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2.完成至少1个省级及以上虚拟仿真实验教学项目;</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3.至少有2个具有一定规模和影响力的企业，深度参与专业人才培养；</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4.建立1个行业（产业）特色学院。</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（四）形成一支高水平教师队伍，建设期内达成以下目标中的1,2,3，目标4和5至少达到一项：</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1.专业生师比基本达到国家要求，高级职称所占比例不低于30%，且配备正高级职称1名；</w:t>
      </w:r>
    </w:p>
    <w:p>
      <w:pPr>
        <w:widowControl/>
        <w:spacing w:line="560" w:lineRule="exact"/>
        <w:ind w:firstLine="640" w:firstLineChars="200"/>
        <w:rPr>
          <w:rFonts w:hint="eastAsia" w:ascii="仿宋_GB2312" w:hAnsi="Calibri" w:eastAsia="仿宋_GB2312" w:cs="Calibri"/>
          <w:color w:val="000000"/>
          <w:sz w:val="32"/>
          <w:szCs w:val="32"/>
        </w:rPr>
      </w:pPr>
      <w:r>
        <w:rPr>
          <w:rFonts w:hint="eastAsia" w:ascii="仿宋_GB2312" w:hAnsi="仿宋" w:eastAsia="仿宋_GB2312"/>
          <w:color w:val="000000"/>
          <w:sz w:val="32"/>
          <w:szCs w:val="32"/>
        </w:rPr>
        <w:t>2.全体教授、副教授给本科生上课，其学生评教均列全院前30%；</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3.基层教学组织运行良好，教学研讨等机制健全；</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4.形成至少1个省级及以上教学团队或人才项目；</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5.专业教师获得除教学或科研课题以外的省级及以上教育建设项目至少1项，获院级青年教学大奖赛一等奖等奖励。</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Calibri" w:eastAsia="楷体_GB2312" w:cs="Calibri"/>
          <w:color w:val="000000"/>
          <w:sz w:val="32"/>
          <w:szCs w:val="32"/>
        </w:rPr>
        <w:t> </w:t>
      </w:r>
      <w:r>
        <w:rPr>
          <w:rFonts w:hint="eastAsia" w:ascii="楷体_GB2312" w:hAnsi="楷体" w:eastAsia="楷体_GB2312"/>
          <w:color w:val="000000"/>
          <w:sz w:val="32"/>
          <w:szCs w:val="32"/>
        </w:rPr>
        <w:t>（五）人才培养质量得到提高，建设期末达成以下目标：</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1.毕业生读研率不低于5%；</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hAnsi="Calibri" w:eastAsia="仿宋_GB2312" w:cs="Calibri"/>
          <w:color w:val="000000"/>
          <w:sz w:val="32"/>
          <w:szCs w:val="32"/>
        </w:rPr>
        <w:t>建设期内</w:t>
      </w:r>
      <w:r>
        <w:rPr>
          <w:rFonts w:hint="eastAsia" w:ascii="仿宋_GB2312" w:hAnsi="仿宋" w:eastAsia="仿宋_GB2312"/>
          <w:color w:val="000000"/>
          <w:sz w:val="32"/>
          <w:szCs w:val="32"/>
        </w:rPr>
        <w:t>毕业生就业率均名列全院各专业前35%。</w:t>
      </w:r>
    </w:p>
    <w:p>
      <w:pPr>
        <w:widowContro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五、项目实施</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（一）实施计划</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自2020年起院级一流专业培育与建设立项。建设周期为3年。建设周期内，学院学术委员会对一流专业建设点进行年度检查，对建设不达标的专业点提出整改意见并监督整改实施效果。2023年根据验收标准对所有立项建设项目进行合格验收，淘汰未完成建设任务的专业建设点。</w:t>
      </w:r>
    </w:p>
    <w:p>
      <w:pPr>
        <w:widowControl/>
        <w:spacing w:line="560" w:lineRule="exact"/>
        <w:ind w:firstLine="640" w:firstLineChars="200"/>
        <w:rPr>
          <w:rFonts w:hint="eastAsia" w:ascii="楷体_GB2312" w:hAnsi="楷体" w:eastAsia="楷体_GB2312"/>
          <w:color w:val="000000"/>
          <w:sz w:val="32"/>
          <w:szCs w:val="32"/>
        </w:rPr>
      </w:pPr>
      <w:r>
        <w:rPr>
          <w:rFonts w:hint="eastAsia" w:ascii="楷体_GB2312" w:hAnsi="楷体" w:eastAsia="楷体_GB2312"/>
          <w:color w:val="000000"/>
          <w:sz w:val="32"/>
          <w:szCs w:val="32"/>
        </w:rPr>
        <w:t>（二）建设保障</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每个立项的一流专业建设点，由学院投入20万元经费进行建设。学院在课程建设、师资培训、团队建设、实践教学平台建设及科研教改项目等方面立项给予重点倾斜。经费分四次拨付，立项时拨付40%，2021年年度检查合格拨付20%，2022年年度检查合格拨付20%，2023年结项时拨付20%。年度检查不合格者暂停经费拨付，待整改期（3个月）满后经检查合格，再行拨付。检查不合格者，撤销该建设项目，并追回剩余经费。建设经费主要用于师资队伍建设、人才培养体系建设、课程资源建设、实习实训平台建设等，经费使用须遵守学院有关财务制度。</w:t>
      </w:r>
    </w:p>
    <w:p>
      <w:pPr>
        <w:widowControl/>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立项的系（部）要专门研究“一流专业培育与建设”项目建设工作，制订分阶段建设计划和目标，按期保质稳定推进。</w:t>
      </w:r>
    </w:p>
    <w:p>
      <w:pPr>
        <w:spacing w:line="400" w:lineRule="exact"/>
        <w:ind w:firstLine="643" w:firstLineChars="200"/>
        <w:rPr>
          <w:rFonts w:hint="eastAsia" w:ascii="仿宋_GB2312" w:hAnsi="仿宋" w:eastAsia="仿宋_GB2312"/>
          <w:b/>
          <w:bCs/>
          <w:color w:val="000000"/>
          <w:sz w:val="32"/>
          <w:szCs w:val="32"/>
        </w:rPr>
      </w:pPr>
    </w:p>
    <w:p>
      <w:pPr>
        <w:ind w:firstLine="280" w:firstLineChars="100"/>
        <w:rPr>
          <w:rFonts w:hint="eastAsia" w:ascii="黑体" w:eastAsia="华文中宋"/>
          <w:sz w:val="28"/>
          <w:szCs w:val="28"/>
        </w:rPr>
      </w:pPr>
    </w:p>
    <w:p>
      <w:pPr>
        <w:ind w:firstLine="280" w:firstLineChars="100"/>
        <w:rPr>
          <w:rFonts w:hint="eastAsia" w:ascii="黑体" w:eastAsia="华文中宋"/>
          <w:sz w:val="28"/>
          <w:szCs w:val="28"/>
        </w:rPr>
      </w:pPr>
    </w:p>
    <w:p>
      <w:pPr>
        <w:ind w:firstLine="280" w:firstLineChars="100"/>
        <w:rPr>
          <w:rFonts w:hint="eastAsia" w:ascii="黑体" w:eastAsia="华文中宋"/>
          <w:sz w:val="28"/>
          <w:szCs w:val="28"/>
        </w:rPr>
      </w:pPr>
    </w:p>
    <w:p>
      <w:pPr>
        <w:ind w:firstLine="280" w:firstLineChars="100"/>
        <w:rPr>
          <w:rFonts w:hint="eastAsia" w:ascii="黑体" w:eastAsia="华文中宋"/>
          <w:sz w:val="28"/>
          <w:szCs w:val="28"/>
        </w:rPr>
      </w:pPr>
    </w:p>
    <w:p>
      <w:pPr>
        <w:ind w:firstLine="280" w:firstLineChars="100"/>
        <w:rPr>
          <w:rFonts w:hint="eastAsia" w:ascii="黑体" w:eastAsia="华文中宋"/>
          <w:sz w:val="28"/>
          <w:szCs w:val="28"/>
        </w:rPr>
      </w:pP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75856"/>
    <w:multiLevelType w:val="singleLevel"/>
    <w:tmpl w:val="9D075856"/>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A6"/>
    <w:rsid w:val="00090D55"/>
    <w:rsid w:val="00173BB4"/>
    <w:rsid w:val="001D57FE"/>
    <w:rsid w:val="004C5F5F"/>
    <w:rsid w:val="008252C9"/>
    <w:rsid w:val="008D2FA6"/>
    <w:rsid w:val="00CB0299"/>
    <w:rsid w:val="00F96772"/>
    <w:rsid w:val="03DE3CA3"/>
    <w:rsid w:val="3DEF66A6"/>
    <w:rsid w:val="5721470B"/>
    <w:rsid w:val="68D9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Words>
  <Characters>347</Characters>
  <Lines>2</Lines>
  <Paragraphs>1</Paragraphs>
  <TotalTime>2</TotalTime>
  <ScaleCrop>false</ScaleCrop>
  <LinksUpToDate>false</LinksUpToDate>
  <CharactersWithSpaces>406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2021-03-30T18:39:00Z</dcterms:created>
  <dc:creator>Shijie He</dc:creator>
  <cp:lastModifiedBy>孜孜</cp:lastModifiedBy>
  <dcterms:modified xsi:type="dcterms:W3CDTF">2021-03-31T06:21:12Z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E97632E81C7F445CA2940549E38D154A</vt:lpwstr>
  </property>
</Properties>
</file>