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C6" w:rsidRDefault="000671C6" w:rsidP="000671C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1C6" w:rsidRPr="000671C6" w:rsidRDefault="000671C6" w:rsidP="000671C6">
      <w:pPr>
        <w:pStyle w:val="Default"/>
        <w:jc w:val="center"/>
        <w:rPr>
          <w:rFonts w:ascii="FZXiaoBiaoSong-B05S" w:eastAsia="FZXiaoBiaoSong-B05S" w:hAnsi="Times New Roman" w:cs="FZXiaoBiaoSong-B05S"/>
          <w:sz w:val="36"/>
          <w:szCs w:val="36"/>
        </w:rPr>
      </w:pPr>
      <w:r w:rsidRPr="000671C6">
        <w:rPr>
          <w:rFonts w:ascii="Times New Roman" w:hAnsi="Times New Roman" w:cs="Times New Roman"/>
          <w:sz w:val="36"/>
          <w:szCs w:val="36"/>
        </w:rPr>
        <w:t>2015—2016</w:t>
      </w:r>
      <w:r w:rsidRPr="000671C6">
        <w:rPr>
          <w:rFonts w:ascii="FZXiaoBiaoSong-B05S" w:eastAsia="FZXiaoBiaoSong-B05S" w:hAnsi="Times New Roman" w:cs="FZXiaoBiaoSong-B05S" w:hint="eastAsia"/>
          <w:sz w:val="36"/>
          <w:szCs w:val="36"/>
        </w:rPr>
        <w:t>年度浙江高校重大人文社科项目</w:t>
      </w:r>
    </w:p>
    <w:p w:rsidR="000671C6" w:rsidRDefault="000671C6" w:rsidP="000671C6">
      <w:pPr>
        <w:pStyle w:val="Default"/>
        <w:jc w:val="center"/>
        <w:rPr>
          <w:rFonts w:ascii="FZXiaoBiaoSong-B05S" w:eastAsia="FZXiaoBiaoSong-B05S" w:hAnsi="Times New Roman" w:cs="FZXiaoBiaoSong-B05S"/>
          <w:sz w:val="44"/>
          <w:szCs w:val="44"/>
        </w:rPr>
      </w:pPr>
      <w:r w:rsidRPr="000671C6">
        <w:rPr>
          <w:rFonts w:ascii="FZXiaoBiaoSong-B05S" w:eastAsia="FZXiaoBiaoSong-B05S" w:hAnsi="Times New Roman" w:cs="FZXiaoBiaoSong-B05S" w:hint="eastAsia"/>
          <w:sz w:val="36"/>
          <w:szCs w:val="36"/>
        </w:rPr>
        <w:t>攻关计划重大招标项目招标指南</w:t>
      </w:r>
      <w:r>
        <w:rPr>
          <w:rFonts w:ascii="FZXiaoBiaoSong-B05S" w:eastAsia="FZXiaoBiaoSong-B05S" w:hAnsi="Times New Roman" w:cs="FZXiaoBiaoSong-B05S"/>
          <w:sz w:val="44"/>
          <w:szCs w:val="44"/>
        </w:rPr>
        <w:t xml:space="preserve"> </w:t>
      </w:r>
    </w:p>
    <w:p w:rsidR="000671C6" w:rsidRDefault="000671C6" w:rsidP="000671C6">
      <w:pPr>
        <w:pStyle w:val="Default"/>
        <w:ind w:firstLine="640"/>
        <w:jc w:val="both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一、突出制度供给</w:t>
      </w:r>
      <w:r>
        <w:rPr>
          <w:rFonts w:hAnsi="Times New Roman"/>
          <w:sz w:val="32"/>
          <w:szCs w:val="32"/>
        </w:rPr>
        <w:t xml:space="preserve"> 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高校办学模式和科研体制机制研究</w:t>
      </w:r>
    </w:p>
    <w:p w:rsidR="000671C6" w:rsidRDefault="000671C6" w:rsidP="000671C6">
      <w:pPr>
        <w:pStyle w:val="Default"/>
        <w:ind w:firstLine="640"/>
        <w:jc w:val="both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二、强化创新驱动</w:t>
      </w:r>
      <w:r>
        <w:rPr>
          <w:rFonts w:hAnsi="Times New Roman"/>
          <w:sz w:val="32"/>
          <w:szCs w:val="32"/>
        </w:rPr>
        <w:t xml:space="preserve"> 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特色小镇的浙江实验：理念、路径与制度化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浙商回归工程的实效性与提升拓展研究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经济新常态下专业市场与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</w:rPr>
        <w:t>+”</w:t>
      </w:r>
      <w:r>
        <w:rPr>
          <w:rFonts w:ascii="仿宋_GB2312" w:eastAsia="仿宋_GB2312" w:hAnsi="Times New Roman" w:cs="仿宋_GB2312" w:hint="eastAsia"/>
          <w:sz w:val="32"/>
          <w:szCs w:val="32"/>
        </w:rPr>
        <w:t>耦合新格局及贸易改革策略选择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浙江经济创新发展能力的测度与评价研究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后追赶时代浙江制造企业创新能力提升路径与对策研究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战略性新兴产业演化机制与政策优化</w:t>
      </w:r>
    </w:p>
    <w:p w:rsidR="000671C6" w:rsidRDefault="000671C6" w:rsidP="000671C6">
      <w:pPr>
        <w:pStyle w:val="Default"/>
        <w:ind w:firstLine="640"/>
        <w:jc w:val="both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三、提高均衡水平</w:t>
      </w:r>
      <w:r>
        <w:rPr>
          <w:rFonts w:hAnsi="Times New Roman"/>
          <w:sz w:val="32"/>
          <w:szCs w:val="32"/>
        </w:rPr>
        <w:t xml:space="preserve"> 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五大发展理念下浙江区域经济均衡发展的内在机理与改革路径研究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仿宋_GB2312" w:eastAsia="仿宋_GB2312" w:hAnsi="Times New Roman" w:cs="仿宋_GB2312" w:hint="eastAsia"/>
          <w:sz w:val="32"/>
          <w:szCs w:val="32"/>
        </w:rPr>
        <w:t>浙江省协调推进县域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四个全面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建设的指标体系及实现对策研究</w:t>
      </w:r>
    </w:p>
    <w:p w:rsidR="000671C6" w:rsidRDefault="000671C6" w:rsidP="000671C6">
      <w:pPr>
        <w:pStyle w:val="Default"/>
        <w:ind w:firstLine="640"/>
        <w:jc w:val="both"/>
        <w:rPr>
          <w:rFonts w:ascii="宋体" w:eastAsia="宋体" w:hAnsi="Times New Roman" w:cs="宋体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仿宋_GB2312" w:eastAsia="仿宋_GB2312" w:hAnsi="Times New Roman" w:cs="仿宋_GB2312" w:hint="eastAsia"/>
          <w:sz w:val="32"/>
          <w:szCs w:val="32"/>
        </w:rPr>
        <w:t>浙江省四大都市区建设与城乡一体化协调发展研究</w:t>
      </w:r>
      <w:r>
        <w:rPr>
          <w:rFonts w:ascii="宋体" w:eastAsia="宋体" w:hAnsi="Times New Roman" w:cs="宋体"/>
          <w:sz w:val="28"/>
          <w:szCs w:val="28"/>
        </w:rPr>
        <w:t xml:space="preserve">- </w:t>
      </w:r>
    </w:p>
    <w:p w:rsidR="000671C6" w:rsidRDefault="000671C6" w:rsidP="000671C6">
      <w:pPr>
        <w:pStyle w:val="Default"/>
        <w:pageBreakBefore/>
        <w:ind w:firstLine="640"/>
        <w:jc w:val="both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lastRenderedPageBreak/>
        <w:t>四、加强生态环境建设</w:t>
      </w:r>
      <w:r>
        <w:rPr>
          <w:rFonts w:hAnsi="Times New Roman"/>
          <w:sz w:val="32"/>
          <w:szCs w:val="32"/>
        </w:rPr>
        <w:t xml:space="preserve"> 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>
        <w:rPr>
          <w:rFonts w:ascii="仿宋_GB2312" w:eastAsia="仿宋_GB2312" w:hAnsi="Times New Roman" w:cs="仿宋_GB2312" w:hint="eastAsia"/>
          <w:sz w:val="32"/>
          <w:szCs w:val="32"/>
        </w:rPr>
        <w:t>共享发展下浙江海洋战略中的生态补偿制度机制研究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仿宋_GB2312" w:eastAsia="仿宋_GB2312" w:hAnsi="Times New Roman" w:cs="仿宋_GB2312" w:hint="eastAsia"/>
          <w:sz w:val="32"/>
          <w:szCs w:val="32"/>
        </w:rPr>
        <w:t>浙江省宏观经济发展与减排效率的协调机制与政策研究</w:t>
      </w:r>
    </w:p>
    <w:p w:rsidR="000671C6" w:rsidRDefault="000671C6" w:rsidP="000671C6">
      <w:pPr>
        <w:pStyle w:val="Default"/>
        <w:ind w:firstLine="640"/>
        <w:jc w:val="both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五、加强和创新社会治理</w:t>
      </w:r>
      <w:r>
        <w:rPr>
          <w:rFonts w:hAnsi="Times New Roman"/>
          <w:sz w:val="32"/>
          <w:szCs w:val="32"/>
        </w:rPr>
        <w:t xml:space="preserve"> 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</w:t>
      </w:r>
      <w:r>
        <w:rPr>
          <w:rFonts w:ascii="仿宋_GB2312" w:eastAsia="仿宋_GB2312" w:hAnsi="Times New Roman" w:cs="仿宋_GB2312" w:hint="eastAsia"/>
          <w:sz w:val="32"/>
          <w:szCs w:val="32"/>
        </w:rPr>
        <w:t>新《行政诉讼法》实施对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五水共治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的影响及建议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仿宋_GB2312" w:eastAsia="仿宋_GB2312" w:hAnsi="Times New Roman" w:cs="仿宋_GB2312" w:hint="eastAsia"/>
          <w:sz w:val="32"/>
          <w:szCs w:val="32"/>
        </w:rPr>
        <w:t>法治新常态下我省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三改一拆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工作所面临的挑战及应对建议</w:t>
      </w:r>
    </w:p>
    <w:p w:rsidR="000671C6" w:rsidRDefault="000671C6" w:rsidP="000671C6">
      <w:pPr>
        <w:pStyle w:val="Default"/>
        <w:ind w:firstLine="640"/>
        <w:jc w:val="both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仿宋_GB2312" w:eastAsia="仿宋_GB2312" w:hAnsi="Times New Roman" w:cs="仿宋_GB2312" w:hint="eastAsia"/>
          <w:sz w:val="32"/>
          <w:szCs w:val="32"/>
        </w:rPr>
        <w:t>后营业税时代地方政府行为及其对经济增长影响</w:t>
      </w:r>
    </w:p>
    <w:p w:rsidR="0072356E" w:rsidRDefault="000671C6" w:rsidP="000671C6">
      <w:r>
        <w:rPr>
          <w:rFonts w:ascii="Times New Roman" w:eastAsia="仿宋_GB2312" w:hAnsi="Times New Roman" w:cs="Times New Roman"/>
          <w:sz w:val="32"/>
          <w:szCs w:val="32"/>
        </w:rPr>
        <w:t>16.</w:t>
      </w:r>
      <w:r>
        <w:rPr>
          <w:rFonts w:ascii="仿宋_GB2312" w:eastAsia="仿宋_GB2312" w:hAnsi="Times New Roman" w:cs="仿宋_GB2312" w:hint="eastAsia"/>
          <w:sz w:val="32"/>
          <w:szCs w:val="32"/>
        </w:rPr>
        <w:t>城镇化背景下农地流转的制约因素及路径选择研究</w:t>
      </w:r>
    </w:p>
    <w:sectPr w:rsidR="0072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6E" w:rsidRDefault="0072356E" w:rsidP="000671C6">
      <w:r>
        <w:separator/>
      </w:r>
    </w:p>
  </w:endnote>
  <w:endnote w:type="continuationSeparator" w:id="1">
    <w:p w:rsidR="0072356E" w:rsidRDefault="0072356E" w:rsidP="0006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FZXiaoBiaoSong-B05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6E" w:rsidRDefault="0072356E" w:rsidP="000671C6">
      <w:r>
        <w:separator/>
      </w:r>
    </w:p>
  </w:footnote>
  <w:footnote w:type="continuationSeparator" w:id="1">
    <w:p w:rsidR="0072356E" w:rsidRDefault="0072356E" w:rsidP="00067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1C6"/>
    <w:rsid w:val="000671C6"/>
    <w:rsid w:val="0072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1C6"/>
    <w:rPr>
      <w:sz w:val="18"/>
      <w:szCs w:val="18"/>
    </w:rPr>
  </w:style>
  <w:style w:type="paragraph" w:customStyle="1" w:styleId="Default">
    <w:name w:val="Default"/>
    <w:rsid w:val="000671C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2016-08-01T05:50:00Z</dcterms:created>
  <dcterms:modified xsi:type="dcterms:W3CDTF">2016-08-01T05:51:00Z</dcterms:modified>
</cp:coreProperties>
</file>