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9B" w:rsidRDefault="00854D13">
      <w:pPr>
        <w:snapToGrid w:val="0"/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E4169B" w:rsidRDefault="00854D13">
      <w:pPr>
        <w:snapToGrid w:val="0"/>
        <w:spacing w:line="580" w:lineRule="exact"/>
        <w:ind w:firstLine="72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浙江省精品在线开放课程建设标准（试行）</w:t>
      </w:r>
    </w:p>
    <w:p w:rsidR="00E4169B" w:rsidRDefault="00E4169B">
      <w:pPr>
        <w:snapToGrid w:val="0"/>
        <w:spacing w:line="580" w:lineRule="exact"/>
        <w:ind w:firstLine="720"/>
        <w:jc w:val="center"/>
        <w:rPr>
          <w:rFonts w:ascii="黑体" w:eastAsia="黑体" w:hAnsi="黑体"/>
          <w:bCs/>
          <w:sz w:val="36"/>
          <w:szCs w:val="36"/>
        </w:rPr>
      </w:pPr>
    </w:p>
    <w:p w:rsidR="00E4169B" w:rsidRDefault="00854D13">
      <w:pPr>
        <w:snapToGrid w:val="0"/>
        <w:spacing w:line="580" w:lineRule="exact"/>
        <w:ind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一、</w:t>
      </w:r>
      <w:r>
        <w:rPr>
          <w:rFonts w:ascii="黑体" w:eastAsia="黑体" w:hAnsi="黑体" w:hint="eastAsia"/>
          <w:sz w:val="32"/>
          <w:szCs w:val="32"/>
        </w:rPr>
        <w:t>课程建设总体要求</w:t>
      </w:r>
    </w:p>
    <w:p w:rsidR="00E4169B" w:rsidRDefault="00854D13">
      <w:pPr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教学内容与资源。根据预设教学目标、学科特点、学生认知规律及教学方式，围绕学科核心概念及教学内容和资源间关系，碎片化组织教学内容及资源、设置教学情境，形成围绕知识点展开、清晰表达知识框架的短视频模块集。每个短视频以</w:t>
      </w:r>
      <w:r>
        <w:rPr>
          <w:rFonts w:eastAsia="仿宋_GB2312"/>
          <w:sz w:val="32"/>
          <w:szCs w:val="32"/>
        </w:rPr>
        <w:t>5-15</w:t>
      </w:r>
      <w:r>
        <w:rPr>
          <w:rFonts w:eastAsia="仿宋_GB2312" w:hint="eastAsia"/>
          <w:sz w:val="32"/>
          <w:szCs w:val="32"/>
        </w:rPr>
        <w:t>分钟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</w:t>
      </w:r>
    </w:p>
    <w:p w:rsidR="00E4169B" w:rsidRDefault="00854D13">
      <w:pPr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教学设计与方法。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</w:t>
      </w:r>
      <w:r>
        <w:rPr>
          <w:rFonts w:eastAsia="仿宋_GB2312" w:hint="eastAsia"/>
          <w:sz w:val="32"/>
          <w:szCs w:val="32"/>
        </w:rPr>
        <w:t>需求。开展在线学习与课堂教学相结合、翻转课堂等多种方式的课堂教学模式，优先支持具有混合式学习等改革实践经验的课程。</w:t>
      </w:r>
    </w:p>
    <w:p w:rsidR="00E4169B" w:rsidRDefault="00854D13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教学活动与评价。要重视学习任务与活动设计，积极</w:t>
      </w:r>
      <w:r>
        <w:rPr>
          <w:rFonts w:ascii="仿宋_GB2312" w:eastAsia="仿宋_GB2312" w:hAnsi="宋体" w:hint="eastAsia"/>
          <w:sz w:val="32"/>
          <w:szCs w:val="32"/>
        </w:rPr>
        <w:t>开展案例式、混合式、探究式等多种教学模式的学习，通过网页插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入式在线测试、即时网上辅导反馈、线上线下讨论、网上作业提交和批改、网上社区讨论等，</w:t>
      </w:r>
      <w:r>
        <w:rPr>
          <w:rFonts w:eastAsia="仿宋_GB2312" w:hint="eastAsia"/>
          <w:sz w:val="32"/>
          <w:szCs w:val="32"/>
        </w:rPr>
        <w:t>促进师生之间、学生之间进行资源共享、问题交流和协作学习。</w:t>
      </w:r>
    </w:p>
    <w:p w:rsidR="00E4169B" w:rsidRDefault="00854D13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建立多元化学习评价体系，探索线上和线下融合，过程性评价与终结性评价相结合的多元化考核评价模式，促进学生自主性学习、过程性学习和体验式学习。课程成绩</w:t>
      </w:r>
      <w:r>
        <w:rPr>
          <w:rFonts w:eastAsia="仿宋_GB2312" w:hint="eastAsia"/>
          <w:sz w:val="32"/>
          <w:szCs w:val="32"/>
        </w:rPr>
        <w:t>由过程性考核和终结性考核综合评定。</w:t>
      </w:r>
    </w:p>
    <w:p w:rsidR="00E4169B" w:rsidRDefault="00854D13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教学效果与影响。要注重对教学效果的跟踪评价并开展教学研究工作。基于大数据信息采集分析，</w:t>
      </w:r>
      <w:r>
        <w:rPr>
          <w:rFonts w:ascii="仿宋_GB2312" w:eastAsia="仿宋_GB2312" w:hAnsi="宋体" w:hint="eastAsia"/>
          <w:sz w:val="32"/>
          <w:szCs w:val="32"/>
        </w:rPr>
        <w:t>全程记录和跟踪教师的教学和学生的学习过程、内容、反馈，全面跟踪和掌握每个学生的个性特点、学习行为，改进学校及教师的教学质量，促进因材施教。</w:t>
      </w:r>
    </w:p>
    <w:p w:rsidR="00E4169B" w:rsidRPr="008176D8" w:rsidRDefault="00854D13">
      <w:pPr>
        <w:snapToGrid w:val="0"/>
        <w:spacing w:line="580" w:lineRule="exact"/>
        <w:ind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176D8">
        <w:rPr>
          <w:rFonts w:eastAsia="仿宋_GB2312" w:hint="eastAsia"/>
          <w:sz w:val="32"/>
          <w:szCs w:val="32"/>
        </w:rPr>
        <w:t>充分发挥课程共享作用，推进在线开放课程学分认定和学分管理制度创新。</w:t>
      </w:r>
      <w:r w:rsidRPr="008176D8">
        <w:rPr>
          <w:rFonts w:ascii="仿宋_GB2312" w:eastAsia="仿宋_GB2312" w:hAnsi="宋体" w:hint="eastAsia"/>
          <w:sz w:val="32"/>
          <w:szCs w:val="32"/>
        </w:rPr>
        <w:t>支持各高校之间在合作、共赢、协议的基础上实现在线开放共享课程的互认。课程的初始学分由推荐该课程的高校设定，其它高校可在双方协议的基础上，根据本校专业设置和课程学分设置标准自行认定</w:t>
      </w:r>
      <w:r w:rsidRPr="008176D8">
        <w:rPr>
          <w:rFonts w:ascii="仿宋_GB2312" w:eastAsia="仿宋_GB2312" w:hAnsi="宋体" w:hint="eastAsia"/>
          <w:sz w:val="32"/>
          <w:szCs w:val="32"/>
        </w:rPr>
        <w:t>学分。</w:t>
      </w:r>
    </w:p>
    <w:p w:rsidR="00E4169B" w:rsidRDefault="00854D13">
      <w:pPr>
        <w:snapToGrid w:val="0"/>
        <w:spacing w:line="580" w:lineRule="exact"/>
        <w:ind w:firstLine="640"/>
        <w:rPr>
          <w:rFonts w:eastAsia="仿宋_GB2312"/>
          <w:sz w:val="32"/>
          <w:szCs w:val="32"/>
        </w:rPr>
      </w:pPr>
      <w:r w:rsidRPr="008176D8">
        <w:rPr>
          <w:rFonts w:eastAsia="仿宋_GB2312"/>
          <w:sz w:val="32"/>
          <w:szCs w:val="32"/>
        </w:rPr>
        <w:t xml:space="preserve">5. </w:t>
      </w:r>
      <w:r w:rsidRPr="008176D8">
        <w:rPr>
          <w:rFonts w:eastAsia="仿宋_GB2312" w:hint="eastAsia"/>
          <w:sz w:val="32"/>
          <w:szCs w:val="32"/>
        </w:rPr>
        <w:t>团队支持与服务。课程建设负责人应为高校正式聘用，具有丰富的教学经验和较高的学术造诣的教师，课程组成员均在教学一线长期承担本课程教学任务。支持和鼓励教学名师、知名专家主讲开放课程。除主讲教师外，还需配备必要助理教师和现代教育技术人员，能长期在线服务课程建设，承担课程内容更新、</w:t>
      </w:r>
      <w:r>
        <w:rPr>
          <w:rFonts w:eastAsia="仿宋_GB2312" w:hint="eastAsia"/>
          <w:sz w:val="32"/>
          <w:szCs w:val="32"/>
        </w:rPr>
        <w:lastRenderedPageBreak/>
        <w:t>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</w:t>
      </w:r>
      <w:r>
        <w:rPr>
          <w:rFonts w:eastAsia="仿宋_GB2312" w:hint="eastAsia"/>
          <w:sz w:val="32"/>
          <w:szCs w:val="32"/>
        </w:rPr>
        <w:t>能力强的优秀课程教学团队。</w:t>
      </w:r>
    </w:p>
    <w:p w:rsidR="00E4169B" w:rsidRDefault="00854D13">
      <w:pPr>
        <w:snapToGrid w:val="0"/>
        <w:spacing w:line="58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6. </w:t>
      </w:r>
      <w:r>
        <w:rPr>
          <w:rFonts w:eastAsia="仿宋_GB2312" w:hint="eastAsia"/>
          <w:sz w:val="32"/>
          <w:szCs w:val="32"/>
        </w:rPr>
        <w:t>信息安全及知识产权保障。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 w:rsidR="00E4169B" w:rsidRDefault="00854D13">
      <w:pPr>
        <w:snapToGrid w:val="0"/>
        <w:spacing w:line="580" w:lineRule="exact"/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二、课程视频制作规范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（一）视频内容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屏幕图像的构图合理，画面主体突出。人像及肢体动作以及配合讲授选用的板书、画板、教具实物、模型和实验设备等均不能超出镜头所及范围。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演播室使用的背景采用彩色喷绘或电脑虚拟、实景等背景。建议采用彩色喷绘背景。背景的颜色、图案不易过多，应保持静态，画面应简洁、明快，有利于营造课堂气氛。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r>
        <w:rPr>
          <w:rFonts w:ascii="仿宋_GB2312" w:eastAsia="仿宋_GB2312" w:hAnsi="华文仿宋" w:hint="eastAsia"/>
          <w:sz w:val="32"/>
          <w:szCs w:val="32"/>
        </w:rPr>
        <w:t>摄像镜头应保持与主讲教师目光平视的角度。主讲教师不应较长时间仰视或俯视。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4.</w:t>
      </w:r>
      <w:r>
        <w:rPr>
          <w:rFonts w:ascii="仿宋_GB2312" w:eastAsia="仿宋_GB2312" w:hAnsi="华文仿宋" w:hint="eastAsia"/>
          <w:sz w:val="32"/>
          <w:szCs w:val="32"/>
        </w:rPr>
        <w:t>使用资料、图片、外景实拍、实验和表演等形象化教学手段，应符合教学内容要求，与讲授内容联系紧密，手段选用恰当。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</w:t>
      </w:r>
      <w:r>
        <w:rPr>
          <w:rFonts w:ascii="仿宋_GB2312" w:eastAsia="仿宋_GB2312" w:hAnsi="华文仿宋" w:hint="eastAsia"/>
          <w:sz w:val="32"/>
          <w:szCs w:val="32"/>
        </w:rPr>
        <w:t>选用影视作品或自拍素材，应</w:t>
      </w:r>
      <w:r>
        <w:rPr>
          <w:rFonts w:ascii="仿宋_GB2312" w:eastAsia="仿宋_GB2312" w:hAnsi="华文仿宋" w:hint="eastAsia"/>
          <w:sz w:val="32"/>
          <w:szCs w:val="32"/>
        </w:rPr>
        <w:t>注明素材来源。影视作品或自拍素材中涉及人物访谈内容时，除应加注人物介绍外，还应采用滚动式同声字幕。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</w:t>
      </w:r>
      <w:r>
        <w:rPr>
          <w:rFonts w:ascii="仿宋_GB2312" w:eastAsia="仿宋_GB2312" w:hAnsi="华文仿宋" w:hint="eastAsia"/>
          <w:sz w:val="32"/>
          <w:szCs w:val="32"/>
        </w:rPr>
        <w:t>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</w:t>
      </w:r>
      <w:r>
        <w:rPr>
          <w:rFonts w:ascii="仿宋_GB2312" w:eastAsia="仿宋_GB2312" w:hAnsi="华文仿宋" w:hint="eastAsia"/>
          <w:sz w:val="32"/>
          <w:szCs w:val="32"/>
        </w:rPr>
        <w:t>动画的设计与使用，要与课程内容相贴切，能够发挥良好的教学效果。</w:t>
      </w:r>
    </w:p>
    <w:p w:rsidR="00E4169B" w:rsidRDefault="00854D13">
      <w:pPr>
        <w:spacing w:line="58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8.</w:t>
      </w:r>
      <w:r>
        <w:rPr>
          <w:rFonts w:ascii="仿宋_GB2312" w:eastAsia="仿宋_GB2312" w:hAnsi="华文仿宋" w:hint="eastAsia"/>
          <w:sz w:val="32"/>
          <w:szCs w:val="32"/>
        </w:rPr>
        <w:t>动画的实现须流畅、合理、图像清晰，具有较强的可视性。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（二）视频技术规格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视频信号源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）稳定性：全片图像同步性能稳定，无失步现象，</w:t>
      </w:r>
      <w:r>
        <w:rPr>
          <w:rFonts w:ascii="仿宋_GB2312" w:eastAsia="仿宋_GB2312" w:hAnsi="华文仿宋" w:hint="eastAsia"/>
          <w:sz w:val="32"/>
          <w:szCs w:val="32"/>
        </w:rPr>
        <w:t>CTL</w:t>
      </w:r>
      <w:r>
        <w:rPr>
          <w:rFonts w:ascii="仿宋_GB2312" w:eastAsia="仿宋_GB2312" w:hAnsi="华文仿宋" w:hint="eastAsia"/>
          <w:sz w:val="32"/>
          <w:szCs w:val="32"/>
        </w:rPr>
        <w:t>同步控制信号必须连续：图像无抖动跳跃，色彩无突变，编辑点处图像稳定。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）信噪比：图像信噪比不低于</w:t>
      </w:r>
      <w:r>
        <w:rPr>
          <w:rFonts w:ascii="仿宋_GB2312" w:eastAsia="仿宋_GB2312" w:hAnsi="华文仿宋" w:hint="eastAsia"/>
          <w:sz w:val="32"/>
          <w:szCs w:val="32"/>
        </w:rPr>
        <w:t>55dB</w:t>
      </w:r>
      <w:r>
        <w:rPr>
          <w:rFonts w:ascii="仿宋_GB2312" w:eastAsia="仿宋_GB2312" w:hAnsi="华文仿宋" w:hint="eastAsia"/>
          <w:sz w:val="32"/>
          <w:szCs w:val="32"/>
        </w:rPr>
        <w:t>，无明显杂波。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）色调：白平衡正确，无明显偏色，多机拍摄的镜头衔接处无明显色差。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）视频电平：视频全讯号幅度为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Ⅴ</w:t>
      </w:r>
      <w:r>
        <w:rPr>
          <w:rFonts w:ascii="仿宋_GB2312" w:eastAsia="仿宋_GB2312" w:hAnsi="华文仿宋" w:hint="eastAsia"/>
          <w:sz w:val="32"/>
          <w:szCs w:val="32"/>
        </w:rPr>
        <w:t>p-p</w:t>
      </w:r>
      <w:r>
        <w:rPr>
          <w:rFonts w:ascii="仿宋_GB2312" w:eastAsia="仿宋_GB2312" w:hAnsi="华文仿宋" w:hint="eastAsia"/>
          <w:sz w:val="32"/>
          <w:szCs w:val="32"/>
        </w:rPr>
        <w:t>，最大不超过</w:t>
      </w:r>
      <w:r>
        <w:rPr>
          <w:rFonts w:ascii="仿宋_GB2312" w:eastAsia="仿宋_GB2312" w:hAnsi="华文仿宋" w:hint="eastAsia"/>
          <w:sz w:val="32"/>
          <w:szCs w:val="32"/>
        </w:rPr>
        <w:t>1.1</w:t>
      </w:r>
      <w:r>
        <w:rPr>
          <w:rFonts w:ascii="仿宋_GB2312" w:eastAsia="仿宋_GB2312" w:hAnsi="华文仿宋" w:hint="eastAsia"/>
          <w:sz w:val="32"/>
          <w:szCs w:val="32"/>
        </w:rPr>
        <w:t>Ⅴ</w:t>
      </w:r>
      <w:r>
        <w:rPr>
          <w:rFonts w:ascii="仿宋_GB2312" w:eastAsia="仿宋_GB2312" w:hAnsi="华文仿宋" w:hint="eastAsia"/>
          <w:sz w:val="32"/>
          <w:szCs w:val="32"/>
        </w:rPr>
        <w:t xml:space="preserve"> p-p</w:t>
      </w:r>
      <w:r>
        <w:rPr>
          <w:rFonts w:ascii="仿宋_GB2312" w:eastAsia="仿宋_GB2312" w:hAnsi="华文仿宋" w:hint="eastAsia"/>
          <w:sz w:val="32"/>
          <w:szCs w:val="32"/>
        </w:rPr>
        <w:t>。其中，消隐电平为</w:t>
      </w:r>
      <w:r>
        <w:rPr>
          <w:rFonts w:ascii="仿宋_GB2312" w:eastAsia="仿宋_GB2312" w:hAnsi="华文仿宋" w:hint="eastAsia"/>
          <w:sz w:val="32"/>
          <w:szCs w:val="32"/>
        </w:rPr>
        <w:t>0V</w:t>
      </w:r>
      <w:r>
        <w:rPr>
          <w:rFonts w:ascii="仿宋_GB2312" w:eastAsia="仿宋_GB2312" w:hAnsi="华文仿宋" w:hint="eastAsia"/>
          <w:sz w:val="32"/>
          <w:szCs w:val="32"/>
        </w:rPr>
        <w:t>时，白电平幅度</w:t>
      </w:r>
      <w:r>
        <w:rPr>
          <w:rFonts w:ascii="仿宋_GB2312" w:eastAsia="仿宋_GB2312" w:hAnsi="华文仿宋" w:hint="eastAsia"/>
          <w:sz w:val="32"/>
          <w:szCs w:val="32"/>
        </w:rPr>
        <w:t>0.7</w:t>
      </w:r>
      <w:r>
        <w:rPr>
          <w:rFonts w:ascii="仿宋_GB2312" w:eastAsia="仿宋_GB2312" w:hAnsi="华文仿宋" w:hint="eastAsia"/>
          <w:sz w:val="32"/>
          <w:szCs w:val="32"/>
        </w:rPr>
        <w:t>Ⅴ</w:t>
      </w:r>
      <w:r>
        <w:rPr>
          <w:rFonts w:ascii="仿宋_GB2312" w:eastAsia="仿宋_GB2312" w:hAnsi="华文仿宋" w:hint="eastAsia"/>
          <w:sz w:val="32"/>
          <w:szCs w:val="32"/>
        </w:rPr>
        <w:t>p-p</w:t>
      </w:r>
      <w:r>
        <w:rPr>
          <w:rFonts w:ascii="仿宋_GB2312" w:eastAsia="仿宋_GB2312" w:hAnsi="华文仿宋" w:hint="eastAsia"/>
          <w:sz w:val="32"/>
          <w:szCs w:val="32"/>
        </w:rPr>
        <w:t>，同步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信号</w:t>
      </w:r>
      <w:r>
        <w:rPr>
          <w:rFonts w:ascii="仿宋_GB2312" w:eastAsia="仿宋_GB2312" w:hAnsi="华文仿宋" w:hint="eastAsia"/>
          <w:sz w:val="32"/>
          <w:szCs w:val="32"/>
        </w:rPr>
        <w:t>-0.3V</w:t>
      </w:r>
      <w:r>
        <w:rPr>
          <w:rFonts w:ascii="仿宋_GB2312" w:eastAsia="仿宋_GB2312" w:hAnsi="华文仿宋" w:hint="eastAsia"/>
          <w:sz w:val="32"/>
          <w:szCs w:val="32"/>
        </w:rPr>
        <w:t>，色同步信号幅度</w:t>
      </w:r>
      <w:r>
        <w:rPr>
          <w:rFonts w:ascii="仿宋_GB2312" w:eastAsia="仿宋_GB2312" w:hAnsi="华文仿宋" w:hint="eastAsia"/>
          <w:sz w:val="32"/>
          <w:szCs w:val="32"/>
        </w:rPr>
        <w:t>0.3V p-p (</w:t>
      </w:r>
      <w:r>
        <w:rPr>
          <w:rFonts w:ascii="仿宋_GB2312" w:eastAsia="仿宋_GB2312" w:hAnsi="华文仿宋" w:hint="eastAsia"/>
          <w:sz w:val="32"/>
          <w:szCs w:val="32"/>
        </w:rPr>
        <w:t>以消隐线上下对称</w:t>
      </w:r>
      <w:r>
        <w:rPr>
          <w:rFonts w:ascii="仿宋_GB2312" w:eastAsia="仿宋_GB2312" w:hAnsi="华文仿宋" w:hint="eastAsia"/>
          <w:sz w:val="32"/>
          <w:szCs w:val="32"/>
        </w:rPr>
        <w:t>)</w:t>
      </w:r>
      <w:r>
        <w:rPr>
          <w:rFonts w:ascii="仿宋_GB2312" w:eastAsia="仿宋_GB2312" w:hAnsi="华文仿宋" w:hint="eastAsia"/>
          <w:sz w:val="32"/>
          <w:szCs w:val="32"/>
        </w:rPr>
        <w:t>，全片一致。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音频信号源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）声道：中文内容音频信号记录于第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声</w:t>
      </w:r>
      <w:r>
        <w:rPr>
          <w:rFonts w:ascii="仿宋_GB2312" w:eastAsia="仿宋_GB2312" w:hAnsi="华文仿宋" w:hint="eastAsia"/>
          <w:sz w:val="32"/>
          <w:szCs w:val="32"/>
        </w:rPr>
        <w:t>道，音乐、音效、同期声记录于第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声道，若有其他文字解说记录于第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声道</w:t>
      </w:r>
      <w:r>
        <w:rPr>
          <w:rFonts w:ascii="仿宋_GB2312" w:eastAsia="仿宋_GB2312" w:hAnsi="华文仿宋" w:hint="eastAsia"/>
          <w:sz w:val="32"/>
          <w:szCs w:val="32"/>
        </w:rPr>
        <w:t>(</w:t>
      </w:r>
      <w:r>
        <w:rPr>
          <w:rFonts w:ascii="仿宋_GB2312" w:eastAsia="仿宋_GB2312" w:hAnsi="华文仿宋" w:hint="eastAsia"/>
          <w:sz w:val="32"/>
          <w:szCs w:val="32"/>
        </w:rPr>
        <w:t>如录音设备无第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声道</w:t>
      </w:r>
      <w:r>
        <w:rPr>
          <w:rFonts w:ascii="仿宋_GB2312" w:eastAsia="仿宋_GB2312" w:hAnsi="华文仿宋" w:hint="eastAsia"/>
          <w:sz w:val="32"/>
          <w:szCs w:val="32"/>
        </w:rPr>
        <w:t>,</w:t>
      </w:r>
      <w:r>
        <w:rPr>
          <w:rFonts w:ascii="仿宋_GB2312" w:eastAsia="仿宋_GB2312" w:hAnsi="华文仿宋" w:hint="eastAsia"/>
          <w:sz w:val="32"/>
          <w:szCs w:val="32"/>
        </w:rPr>
        <w:t>则录于第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声道</w:t>
      </w:r>
      <w:r>
        <w:rPr>
          <w:rFonts w:ascii="仿宋_GB2312" w:eastAsia="仿宋_GB2312" w:hAnsi="华文仿宋" w:hint="eastAsia"/>
          <w:sz w:val="32"/>
          <w:szCs w:val="32"/>
        </w:rPr>
        <w:t>)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）电平指标：</w:t>
      </w:r>
      <w:r>
        <w:rPr>
          <w:rFonts w:ascii="仿宋_GB2312" w:eastAsia="仿宋_GB2312" w:hAnsi="华文仿宋" w:hint="eastAsia"/>
          <w:sz w:val="32"/>
          <w:szCs w:val="32"/>
        </w:rPr>
        <w:t xml:space="preserve">-2db </w:t>
      </w:r>
      <w:r>
        <w:rPr>
          <w:rFonts w:ascii="仿宋_GB2312" w:eastAsia="仿宋_GB2312" w:hAnsi="华文仿宋" w:hint="eastAsia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 xml:space="preserve"> -8db</w:t>
      </w:r>
      <w:r>
        <w:rPr>
          <w:rFonts w:ascii="仿宋_GB2312" w:eastAsia="仿宋_GB2312" w:hAnsi="华文仿宋" w:hint="eastAsia"/>
          <w:sz w:val="32"/>
          <w:szCs w:val="32"/>
        </w:rPr>
        <w:t>声音应无明显失真、放音过冲、过弱。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）音频信噪比不低于</w:t>
      </w:r>
      <w:r>
        <w:rPr>
          <w:rFonts w:ascii="仿宋_GB2312" w:eastAsia="仿宋_GB2312" w:hAnsi="华文仿宋" w:hint="eastAsia"/>
          <w:sz w:val="32"/>
          <w:szCs w:val="32"/>
        </w:rPr>
        <w:t>48db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）声音和画面要求同步，无交流声或其他杂音等缺陷。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）伴音清晰、饱满、圆润，无失真、噪声杂音干扰、音量忽大忽小现象。解说声与现场声无明显比例失调，解说声与背景音乐无明显比例失调。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r>
        <w:rPr>
          <w:rFonts w:ascii="仿宋_GB2312" w:eastAsia="仿宋_GB2312" w:hAnsi="华文仿宋" w:hint="eastAsia"/>
          <w:sz w:val="32"/>
          <w:szCs w:val="32"/>
        </w:rPr>
        <w:t>视频压缩格式及技术参数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）视频压缩采用</w:t>
      </w:r>
      <w:r>
        <w:rPr>
          <w:rFonts w:ascii="仿宋_GB2312" w:eastAsia="仿宋_GB2312" w:hAnsi="华文仿宋" w:hint="eastAsia"/>
          <w:sz w:val="32"/>
          <w:szCs w:val="32"/>
        </w:rPr>
        <w:t>H.264/AVC (MPEG-4 Part10)</w:t>
      </w:r>
      <w:r>
        <w:rPr>
          <w:rFonts w:ascii="仿宋_GB2312" w:eastAsia="仿宋_GB2312" w:hAnsi="华文仿宋" w:hint="eastAsia"/>
          <w:sz w:val="32"/>
          <w:szCs w:val="32"/>
        </w:rPr>
        <w:t>编码、使</w:t>
      </w:r>
      <w:r>
        <w:rPr>
          <w:rFonts w:ascii="仿宋_GB2312" w:eastAsia="仿宋_GB2312" w:hAnsi="华文仿宋" w:hint="eastAsia"/>
          <w:sz w:val="32"/>
          <w:szCs w:val="32"/>
        </w:rPr>
        <w:t>用二次编码、不包含字幕的</w:t>
      </w:r>
      <w:r>
        <w:rPr>
          <w:rFonts w:ascii="仿宋_GB2312" w:eastAsia="仿宋_GB2312" w:hAnsi="华文仿宋" w:hint="eastAsia"/>
          <w:sz w:val="32"/>
          <w:szCs w:val="32"/>
        </w:rPr>
        <w:t>MP4</w:t>
      </w:r>
      <w:r>
        <w:rPr>
          <w:rFonts w:ascii="仿宋_GB2312" w:eastAsia="仿宋_GB2312" w:hAnsi="华文仿宋" w:hint="eastAsia"/>
          <w:sz w:val="32"/>
          <w:szCs w:val="32"/>
        </w:rPr>
        <w:t>格式。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）视频码流率：动态码流的最低码率不得低于</w:t>
      </w:r>
      <w:r>
        <w:rPr>
          <w:rFonts w:ascii="仿宋_GB2312" w:eastAsia="仿宋_GB2312" w:hAnsi="华文仿宋" w:hint="eastAsia"/>
          <w:sz w:val="32"/>
          <w:szCs w:val="32"/>
        </w:rPr>
        <w:t>1024Kb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）视频分辨率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前期采用标清</w:t>
      </w:r>
      <w:r>
        <w:rPr>
          <w:rFonts w:ascii="仿宋_GB2312" w:eastAsia="仿宋_GB2312" w:hAnsi="华文仿宋" w:hint="eastAsia"/>
          <w:sz w:val="32"/>
          <w:szCs w:val="32"/>
        </w:rPr>
        <w:t>4:3</w:t>
      </w:r>
      <w:r>
        <w:rPr>
          <w:rFonts w:ascii="仿宋_GB2312" w:eastAsia="仿宋_GB2312" w:hAnsi="华文仿宋" w:hint="eastAsia"/>
          <w:sz w:val="32"/>
          <w:szCs w:val="32"/>
        </w:rPr>
        <w:t>拍摄时，请设定为</w:t>
      </w:r>
      <w:r>
        <w:rPr>
          <w:rFonts w:ascii="仿宋_GB2312" w:eastAsia="仿宋_GB2312" w:hAnsi="华文仿宋" w:hint="eastAsia"/>
          <w:sz w:val="32"/>
          <w:szCs w:val="32"/>
        </w:rPr>
        <w:t xml:space="preserve"> 720</w:t>
      </w:r>
      <w:r>
        <w:rPr>
          <w:rFonts w:ascii="仿宋_GB2312" w:eastAsia="仿宋_GB2312" w:hAnsi="华文仿宋" w:hint="eastAsia"/>
          <w:sz w:val="32"/>
          <w:szCs w:val="32"/>
        </w:rPr>
        <w:t>×</w:t>
      </w:r>
      <w:r>
        <w:rPr>
          <w:rFonts w:ascii="仿宋_GB2312" w:eastAsia="仿宋_GB2312" w:hAnsi="华文仿宋" w:hint="eastAsia"/>
          <w:sz w:val="32"/>
          <w:szCs w:val="32"/>
        </w:rPr>
        <w:t>576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前期采用高清</w:t>
      </w:r>
      <w:r>
        <w:rPr>
          <w:rFonts w:ascii="仿宋_GB2312" w:eastAsia="仿宋_GB2312" w:hAnsi="华文仿宋" w:hint="eastAsia"/>
          <w:sz w:val="32"/>
          <w:szCs w:val="32"/>
        </w:rPr>
        <w:t>16:9</w:t>
      </w:r>
      <w:r>
        <w:rPr>
          <w:rFonts w:ascii="仿宋_GB2312" w:eastAsia="仿宋_GB2312" w:hAnsi="华文仿宋" w:hint="eastAsia"/>
          <w:sz w:val="32"/>
          <w:szCs w:val="32"/>
        </w:rPr>
        <w:t>拍摄时，请设定为</w:t>
      </w:r>
      <w:r>
        <w:rPr>
          <w:rFonts w:ascii="仿宋_GB2312" w:eastAsia="仿宋_GB2312" w:hAnsi="华文仿宋" w:hint="eastAsia"/>
          <w:sz w:val="32"/>
          <w:szCs w:val="32"/>
        </w:rPr>
        <w:t xml:space="preserve"> 1280</w:t>
      </w:r>
      <w:r>
        <w:rPr>
          <w:rFonts w:ascii="仿宋_GB2312" w:eastAsia="仿宋_GB2312" w:hAnsi="华文仿宋" w:hint="eastAsia"/>
          <w:sz w:val="32"/>
          <w:szCs w:val="32"/>
        </w:rPr>
        <w:t>×</w:t>
      </w:r>
      <w:r>
        <w:rPr>
          <w:rFonts w:ascii="仿宋_GB2312" w:eastAsia="仿宋_GB2312" w:hAnsi="华文仿宋" w:hint="eastAsia"/>
          <w:sz w:val="32"/>
          <w:szCs w:val="32"/>
        </w:rPr>
        <w:t>720</w:t>
      </w:r>
      <w:r>
        <w:rPr>
          <w:rFonts w:ascii="仿宋_GB2312" w:eastAsia="仿宋_GB2312" w:hAnsi="华文仿宋" w:hint="eastAsia"/>
          <w:sz w:val="32"/>
          <w:szCs w:val="32"/>
        </w:rPr>
        <w:t>或</w:t>
      </w:r>
      <w:r>
        <w:rPr>
          <w:rFonts w:ascii="仿宋_GB2312" w:eastAsia="仿宋_GB2312" w:hAnsi="华文仿宋" w:hint="eastAsia"/>
          <w:sz w:val="32"/>
          <w:szCs w:val="32"/>
        </w:rPr>
        <w:t>1920</w:t>
      </w:r>
      <w:r>
        <w:rPr>
          <w:rFonts w:ascii="仿宋_GB2312" w:eastAsia="仿宋_GB2312" w:hAnsi="华文仿宋" w:hint="eastAsia"/>
          <w:sz w:val="32"/>
          <w:szCs w:val="32"/>
        </w:rPr>
        <w:t>×</w:t>
      </w:r>
      <w:r>
        <w:rPr>
          <w:rFonts w:ascii="仿宋_GB2312" w:eastAsia="仿宋_GB2312" w:hAnsi="华文仿宋" w:hint="eastAsia"/>
          <w:sz w:val="32"/>
          <w:szCs w:val="32"/>
        </w:rPr>
        <w:t>1080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）视频画幅宽高比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分辨率设定为</w:t>
      </w:r>
      <w:r>
        <w:rPr>
          <w:rFonts w:ascii="仿宋_GB2312" w:eastAsia="仿宋_GB2312" w:hAnsi="华文仿宋" w:hint="eastAsia"/>
          <w:sz w:val="32"/>
          <w:szCs w:val="32"/>
        </w:rPr>
        <w:t xml:space="preserve"> 720</w:t>
      </w:r>
      <w:r>
        <w:rPr>
          <w:rFonts w:ascii="仿宋_GB2312" w:eastAsia="仿宋_GB2312" w:hAnsi="华文仿宋" w:hint="eastAsia"/>
          <w:sz w:val="32"/>
          <w:szCs w:val="32"/>
        </w:rPr>
        <w:t>×</w:t>
      </w:r>
      <w:r>
        <w:rPr>
          <w:rFonts w:ascii="仿宋_GB2312" w:eastAsia="仿宋_GB2312" w:hAnsi="华文仿宋" w:hint="eastAsia"/>
          <w:sz w:val="32"/>
          <w:szCs w:val="32"/>
        </w:rPr>
        <w:t>576</w:t>
      </w:r>
      <w:r>
        <w:rPr>
          <w:rFonts w:ascii="仿宋_GB2312" w:eastAsia="仿宋_GB2312" w:hAnsi="华文仿宋" w:hint="eastAsia"/>
          <w:sz w:val="32"/>
          <w:szCs w:val="32"/>
        </w:rPr>
        <w:t>的，请选定</w:t>
      </w:r>
      <w:r>
        <w:rPr>
          <w:rFonts w:ascii="仿宋_GB2312" w:eastAsia="仿宋_GB2312" w:hAnsi="华文仿宋" w:hint="eastAsia"/>
          <w:sz w:val="32"/>
          <w:szCs w:val="32"/>
        </w:rPr>
        <w:t xml:space="preserve"> 4:3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分辨率设定为</w:t>
      </w:r>
      <w:r>
        <w:rPr>
          <w:rFonts w:ascii="仿宋_GB2312" w:eastAsia="仿宋_GB2312" w:hAnsi="华文仿宋" w:hint="eastAsia"/>
          <w:sz w:val="32"/>
          <w:szCs w:val="32"/>
        </w:rPr>
        <w:t>1280</w:t>
      </w:r>
      <w:r>
        <w:rPr>
          <w:rFonts w:ascii="仿宋_GB2312" w:eastAsia="仿宋_GB2312" w:hAnsi="华文仿宋" w:hint="eastAsia"/>
          <w:sz w:val="32"/>
          <w:szCs w:val="32"/>
        </w:rPr>
        <w:t>×</w:t>
      </w:r>
      <w:r>
        <w:rPr>
          <w:rFonts w:ascii="仿宋_GB2312" w:eastAsia="仿宋_GB2312" w:hAnsi="华文仿宋" w:hint="eastAsia"/>
          <w:sz w:val="32"/>
          <w:szCs w:val="32"/>
        </w:rPr>
        <w:t>720</w:t>
      </w:r>
      <w:r>
        <w:rPr>
          <w:rFonts w:ascii="仿宋_GB2312" w:eastAsia="仿宋_GB2312" w:hAnsi="华文仿宋" w:hint="eastAsia"/>
          <w:sz w:val="32"/>
          <w:szCs w:val="32"/>
        </w:rPr>
        <w:t>或</w:t>
      </w:r>
      <w:r>
        <w:rPr>
          <w:rFonts w:ascii="仿宋_GB2312" w:eastAsia="仿宋_GB2312" w:hAnsi="华文仿宋" w:hint="eastAsia"/>
          <w:sz w:val="32"/>
          <w:szCs w:val="32"/>
        </w:rPr>
        <w:t>1920</w:t>
      </w:r>
      <w:r>
        <w:rPr>
          <w:rFonts w:ascii="仿宋_GB2312" w:eastAsia="仿宋_GB2312" w:hAnsi="华文仿宋" w:hint="eastAsia"/>
          <w:sz w:val="32"/>
          <w:szCs w:val="32"/>
        </w:rPr>
        <w:t>×</w:t>
      </w:r>
      <w:r>
        <w:rPr>
          <w:rFonts w:ascii="仿宋_GB2312" w:eastAsia="仿宋_GB2312" w:hAnsi="华文仿宋" w:hint="eastAsia"/>
          <w:sz w:val="32"/>
          <w:szCs w:val="32"/>
        </w:rPr>
        <w:t>1080</w:t>
      </w:r>
      <w:r>
        <w:rPr>
          <w:rFonts w:ascii="仿宋_GB2312" w:eastAsia="仿宋_GB2312" w:hAnsi="华文仿宋" w:hint="eastAsia"/>
          <w:sz w:val="32"/>
          <w:szCs w:val="32"/>
        </w:rPr>
        <w:t>的，请选定</w:t>
      </w:r>
      <w:r>
        <w:rPr>
          <w:rFonts w:ascii="仿宋_GB2312" w:eastAsia="仿宋_GB2312" w:hAnsi="华文仿宋" w:hint="eastAsia"/>
          <w:sz w:val="32"/>
          <w:szCs w:val="32"/>
        </w:rPr>
        <w:t xml:space="preserve"> 16:9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）视频帧率为</w:t>
      </w:r>
      <w:r>
        <w:rPr>
          <w:rFonts w:ascii="仿宋_GB2312" w:eastAsia="仿宋_GB2312" w:hAnsi="华文仿宋" w:hint="eastAsia"/>
          <w:sz w:val="32"/>
          <w:szCs w:val="32"/>
        </w:rPr>
        <w:t>25</w:t>
      </w:r>
      <w:r>
        <w:rPr>
          <w:rFonts w:ascii="仿宋_GB2312" w:eastAsia="仿宋_GB2312" w:hAnsi="华文仿宋" w:hint="eastAsia"/>
          <w:sz w:val="32"/>
          <w:szCs w:val="32"/>
        </w:rPr>
        <w:t>帧</w:t>
      </w:r>
      <w:r>
        <w:rPr>
          <w:rFonts w:ascii="仿宋_GB2312" w:eastAsia="仿宋_GB2312" w:hAnsi="华文仿宋" w:hint="eastAsia"/>
          <w:sz w:val="32"/>
          <w:szCs w:val="32"/>
        </w:rPr>
        <w:t>/</w:t>
      </w:r>
      <w:r>
        <w:rPr>
          <w:rFonts w:ascii="仿宋_GB2312" w:eastAsia="仿宋_GB2312" w:hAnsi="华文仿宋" w:hint="eastAsia"/>
          <w:sz w:val="32"/>
          <w:szCs w:val="32"/>
        </w:rPr>
        <w:t>秒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）扫描方式采用逐行扫描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</w:t>
      </w:r>
      <w:r>
        <w:rPr>
          <w:rFonts w:ascii="仿宋_GB2312" w:eastAsia="仿宋_GB2312" w:hAnsi="华文仿宋" w:hint="eastAsia"/>
          <w:sz w:val="32"/>
          <w:szCs w:val="32"/>
        </w:rPr>
        <w:t>音频压缩格式及技术参数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）音频压缩采用</w:t>
      </w:r>
      <w:r>
        <w:rPr>
          <w:rFonts w:ascii="仿宋_GB2312" w:eastAsia="仿宋_GB2312" w:hAnsi="华文仿宋" w:hint="eastAsia"/>
          <w:sz w:val="32"/>
          <w:szCs w:val="32"/>
        </w:rPr>
        <w:t>AAC(MPEG4 Par</w:t>
      </w:r>
      <w:r>
        <w:rPr>
          <w:rFonts w:ascii="仿宋_GB2312" w:eastAsia="仿宋_GB2312" w:hAnsi="华文仿宋" w:hint="eastAsia"/>
          <w:sz w:val="32"/>
          <w:szCs w:val="32"/>
        </w:rPr>
        <w:t>t3)</w:t>
      </w:r>
      <w:r>
        <w:rPr>
          <w:rFonts w:ascii="仿宋_GB2312" w:eastAsia="仿宋_GB2312" w:hAnsi="华文仿宋" w:hint="eastAsia"/>
          <w:sz w:val="32"/>
          <w:szCs w:val="32"/>
        </w:rPr>
        <w:t>格式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）采样率</w:t>
      </w:r>
      <w:r>
        <w:rPr>
          <w:rFonts w:ascii="仿宋_GB2312" w:eastAsia="仿宋_GB2312" w:hAnsi="华文仿宋" w:hint="eastAsia"/>
          <w:sz w:val="32"/>
          <w:szCs w:val="32"/>
        </w:rPr>
        <w:t xml:space="preserve">48KHz 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）音频码流率</w:t>
      </w:r>
      <w:r>
        <w:rPr>
          <w:rFonts w:ascii="仿宋_GB2312" w:eastAsia="仿宋_GB2312" w:hAnsi="华文仿宋" w:hint="eastAsia"/>
          <w:sz w:val="32"/>
          <w:szCs w:val="32"/>
        </w:rPr>
        <w:t>128Kbps (</w:t>
      </w:r>
      <w:r>
        <w:rPr>
          <w:rFonts w:ascii="仿宋_GB2312" w:eastAsia="仿宋_GB2312" w:hAnsi="华文仿宋" w:hint="eastAsia"/>
          <w:sz w:val="32"/>
          <w:szCs w:val="32"/>
        </w:rPr>
        <w:t>恒定</w:t>
      </w:r>
      <w:r>
        <w:rPr>
          <w:rFonts w:ascii="仿宋_GB2312" w:eastAsia="仿宋_GB2312" w:hAnsi="华文仿宋" w:hint="eastAsia"/>
          <w:sz w:val="32"/>
          <w:szCs w:val="32"/>
        </w:rPr>
        <w:t>)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）必须是双声道，必须做混音处理。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</w:t>
      </w:r>
      <w:r>
        <w:rPr>
          <w:rFonts w:ascii="仿宋_GB2312" w:eastAsia="仿宋_GB2312" w:hAnsi="华文仿宋" w:hint="eastAsia"/>
          <w:sz w:val="32"/>
          <w:szCs w:val="32"/>
        </w:rPr>
        <w:t>封装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采用</w:t>
      </w:r>
      <w:r>
        <w:rPr>
          <w:rFonts w:ascii="仿宋_GB2312" w:eastAsia="仿宋_GB2312" w:hAnsi="华文仿宋" w:hint="eastAsia"/>
          <w:sz w:val="32"/>
          <w:szCs w:val="32"/>
        </w:rPr>
        <w:t>MP4</w:t>
      </w:r>
      <w:r>
        <w:rPr>
          <w:rFonts w:ascii="仿宋_GB2312" w:eastAsia="仿宋_GB2312" w:hAnsi="华文仿宋" w:hint="eastAsia"/>
          <w:sz w:val="32"/>
          <w:szCs w:val="32"/>
        </w:rPr>
        <w:t>封装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（三）演示文稿（</w:t>
      </w:r>
      <w:r>
        <w:rPr>
          <w:rFonts w:ascii="仿宋_GB2312" w:eastAsia="仿宋_GB2312" w:hAnsi="华文仿宋" w:hint="eastAsia"/>
          <w:sz w:val="32"/>
          <w:szCs w:val="32"/>
        </w:rPr>
        <w:t>PPT</w:t>
      </w:r>
      <w:r>
        <w:rPr>
          <w:rFonts w:ascii="仿宋_GB2312" w:eastAsia="仿宋_GB2312" w:hAnsi="华文仿宋" w:hint="eastAsia"/>
          <w:sz w:val="32"/>
          <w:szCs w:val="32"/>
        </w:rPr>
        <w:t>）制作规范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制作原则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）演示文稿（</w:t>
      </w:r>
      <w:r>
        <w:rPr>
          <w:rFonts w:ascii="仿宋_GB2312" w:eastAsia="仿宋_GB2312" w:hAnsi="华文仿宋" w:hint="eastAsia"/>
          <w:sz w:val="32"/>
          <w:szCs w:val="32"/>
        </w:rPr>
        <w:t>PPT</w:t>
      </w:r>
      <w:r>
        <w:rPr>
          <w:rFonts w:ascii="仿宋_GB2312" w:eastAsia="仿宋_GB2312" w:hAnsi="华文仿宋" w:hint="eastAsia"/>
          <w:sz w:val="32"/>
          <w:szCs w:val="32"/>
        </w:rPr>
        <w:t>）要求集文字、图形、图像、声音以及视频等多种媒体元素于一体，一般不使用纯文字的演示文稿（</w:t>
      </w:r>
      <w:r>
        <w:rPr>
          <w:rFonts w:ascii="仿宋_GB2312" w:eastAsia="仿宋_GB2312" w:hAnsi="华文仿宋" w:hint="eastAsia"/>
          <w:sz w:val="32"/>
          <w:szCs w:val="32"/>
        </w:rPr>
        <w:t>PPT</w:t>
      </w:r>
      <w:r>
        <w:rPr>
          <w:rFonts w:ascii="仿宋_GB2312" w:eastAsia="仿宋_GB2312" w:hAnsi="华文仿宋" w:hint="eastAsia"/>
          <w:sz w:val="32"/>
          <w:szCs w:val="32"/>
        </w:rPr>
        <w:t>）。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）页面设置要求符合高清格式比例，幻灯片大小为“全屏显示</w:t>
      </w:r>
      <w:r>
        <w:rPr>
          <w:rFonts w:ascii="仿宋_GB2312" w:eastAsia="仿宋_GB2312" w:hAnsi="华文仿宋" w:hint="eastAsia"/>
          <w:sz w:val="32"/>
          <w:szCs w:val="32"/>
        </w:rPr>
        <w:t>16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9</w:t>
      </w:r>
      <w:r>
        <w:rPr>
          <w:rFonts w:ascii="仿宋_GB2312" w:eastAsia="仿宋_GB2312" w:hAnsi="华文仿宋" w:hint="eastAsia"/>
          <w:sz w:val="32"/>
          <w:szCs w:val="32"/>
        </w:rPr>
        <w:t>”。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）整体效果应风格统一、色彩协调、美观大方。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字体与字号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字体与字号参照下表：</w:t>
      </w:r>
    </w:p>
    <w:p w:rsidR="00E4169B" w:rsidRDefault="00E4169B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</w:p>
    <w:tbl>
      <w:tblPr>
        <w:tblpPr w:leftFromText="180" w:rightFromText="180" w:vertAnchor="text" w:horzAnchor="margin" w:tblpX="250" w:tblpY="21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275"/>
        <w:gridCol w:w="1560"/>
        <w:gridCol w:w="1559"/>
        <w:gridCol w:w="1384"/>
      </w:tblGrid>
      <w:tr w:rsidR="00E41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lastRenderedPageBreak/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大标题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主讲信息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一级标题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正文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字幕</w:t>
            </w:r>
          </w:p>
        </w:tc>
      </w:tr>
      <w:tr w:rsidR="00E41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字体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大黑、时尚中黑、大隶书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黑体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黑体、魏碑、大宋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雅黑、中宋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雅黑</w:t>
            </w:r>
          </w:p>
        </w:tc>
      </w:tr>
      <w:tr w:rsidR="00E41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字号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50</w:t>
            </w:r>
            <w:r>
              <w:rPr>
                <w:rFonts w:ascii="仿宋_GB2312" w:eastAsia="仿宋_GB2312" w:hAnsi="华文仿宋" w:hint="eastAsia"/>
                <w:sz w:val="24"/>
              </w:rPr>
              <w:t>～</w:t>
            </w:r>
            <w:r>
              <w:rPr>
                <w:rFonts w:ascii="仿宋_GB2312" w:eastAsia="仿宋_GB2312" w:hAnsi="华文仿宋" w:hint="eastAsia"/>
                <w:sz w:val="24"/>
              </w:rPr>
              <w:t>70</w:t>
            </w:r>
            <w:r>
              <w:rPr>
                <w:rFonts w:ascii="仿宋_GB2312" w:eastAsia="仿宋_GB2312" w:hAnsi="华文仿宋" w:hint="eastAsia"/>
                <w:sz w:val="24"/>
              </w:rPr>
              <w:t>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36</w:t>
            </w:r>
            <w:r>
              <w:rPr>
                <w:rFonts w:ascii="仿宋_GB2312" w:eastAsia="仿宋_GB2312" w:hAnsi="华文仿宋" w:hint="eastAsia"/>
                <w:sz w:val="24"/>
              </w:rPr>
              <w:t>～</w:t>
            </w:r>
            <w:r>
              <w:rPr>
                <w:rFonts w:ascii="仿宋_GB2312" w:eastAsia="仿宋_GB2312" w:hAnsi="华文仿宋" w:hint="eastAsia"/>
                <w:sz w:val="24"/>
              </w:rPr>
              <w:t>40</w:t>
            </w:r>
            <w:r>
              <w:rPr>
                <w:rFonts w:ascii="仿宋_GB2312" w:eastAsia="仿宋_GB2312" w:hAnsi="华文仿宋" w:hint="eastAsia"/>
                <w:sz w:val="24"/>
              </w:rPr>
              <w:t>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36</w:t>
            </w:r>
            <w:r>
              <w:rPr>
                <w:rFonts w:ascii="仿宋_GB2312" w:eastAsia="仿宋_GB2312" w:hAnsi="华文仿宋" w:hint="eastAsia"/>
                <w:sz w:val="24"/>
              </w:rPr>
              <w:t>～</w:t>
            </w:r>
            <w:r>
              <w:rPr>
                <w:rFonts w:ascii="仿宋_GB2312" w:eastAsia="仿宋_GB2312" w:hAnsi="华文仿宋" w:hint="eastAsia"/>
                <w:sz w:val="24"/>
              </w:rPr>
              <w:t>40</w:t>
            </w:r>
            <w:r>
              <w:rPr>
                <w:rFonts w:ascii="仿宋_GB2312" w:eastAsia="仿宋_GB2312" w:hAnsi="华文仿宋" w:hint="eastAsia"/>
                <w:sz w:val="24"/>
              </w:rPr>
              <w:t>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24</w:t>
            </w:r>
            <w:r>
              <w:rPr>
                <w:rFonts w:ascii="仿宋_GB2312" w:eastAsia="仿宋_GB2312" w:hAnsi="华文仿宋" w:hint="eastAsia"/>
                <w:sz w:val="24"/>
              </w:rPr>
              <w:t>～</w:t>
            </w:r>
            <w:r>
              <w:rPr>
                <w:rFonts w:ascii="仿宋_GB2312" w:eastAsia="仿宋_GB2312" w:hAnsi="华文仿宋" w:hint="eastAsia"/>
                <w:sz w:val="24"/>
              </w:rPr>
              <w:t>32</w:t>
            </w:r>
            <w:r>
              <w:rPr>
                <w:rFonts w:ascii="仿宋_GB2312" w:eastAsia="仿宋_GB2312" w:hAnsi="华文仿宋" w:hint="eastAsia"/>
                <w:sz w:val="24"/>
              </w:rPr>
              <w:t>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32</w:t>
            </w:r>
            <w:r>
              <w:rPr>
                <w:rFonts w:ascii="仿宋_GB2312" w:eastAsia="仿宋_GB2312" w:hAnsi="华文仿宋" w:hint="eastAsia"/>
                <w:sz w:val="24"/>
              </w:rPr>
              <w:t>磅</w:t>
            </w:r>
          </w:p>
        </w:tc>
      </w:tr>
      <w:tr w:rsidR="00E41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上下左右居中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左右居中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左右居中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左对齐</w:t>
            </w:r>
          </w:p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或居中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9B" w:rsidRDefault="00854D13">
            <w:pPr>
              <w:spacing w:line="580" w:lineRule="exact"/>
              <w:jc w:val="center"/>
              <w:rPr>
                <w:rFonts w:ascii="仿宋_GB2312" w:eastAsia="仿宋_GB2312" w:hAnsi="华文仿宋"/>
                <w:sz w:val="24"/>
                <w:u w:color="000000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左右居中</w:t>
            </w:r>
          </w:p>
        </w:tc>
      </w:tr>
    </w:tbl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color w:val="000000"/>
          <w:sz w:val="32"/>
          <w:szCs w:val="32"/>
          <w:u w:color="000000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r>
        <w:rPr>
          <w:rFonts w:ascii="仿宋_GB2312" w:eastAsia="仿宋_GB2312" w:hAnsi="华文仿宋" w:hint="eastAsia"/>
          <w:sz w:val="32"/>
          <w:szCs w:val="32"/>
        </w:rPr>
        <w:t>版心与版式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每页四周留出空白，应避免内容顶到页面边缘，边界安全区域分别为左、右</w:t>
      </w:r>
      <w:r>
        <w:rPr>
          <w:rFonts w:ascii="仿宋_GB2312" w:eastAsia="仿宋_GB2312" w:hAnsi="华文仿宋" w:hint="eastAsia"/>
          <w:sz w:val="32"/>
          <w:szCs w:val="32"/>
        </w:rPr>
        <w:t>130</w:t>
      </w:r>
      <w:r>
        <w:rPr>
          <w:rFonts w:ascii="仿宋_GB2312" w:eastAsia="仿宋_GB2312" w:hAnsi="华文仿宋" w:hint="eastAsia"/>
          <w:sz w:val="32"/>
          <w:szCs w:val="32"/>
        </w:rPr>
        <w:t>像素内，上、下</w:t>
      </w:r>
      <w:r>
        <w:rPr>
          <w:rFonts w:ascii="仿宋_GB2312" w:eastAsia="仿宋_GB2312" w:hAnsi="华文仿宋" w:hint="eastAsia"/>
          <w:sz w:val="32"/>
          <w:szCs w:val="32"/>
        </w:rPr>
        <w:t>90</w:t>
      </w:r>
      <w:r>
        <w:rPr>
          <w:rFonts w:ascii="仿宋_GB2312" w:eastAsia="仿宋_GB2312" w:hAnsi="华文仿宋" w:hint="eastAsia"/>
          <w:sz w:val="32"/>
          <w:szCs w:val="32"/>
        </w:rPr>
        <w:t>像素内。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</w:t>
      </w:r>
      <w:r>
        <w:rPr>
          <w:rFonts w:ascii="仿宋_GB2312" w:eastAsia="仿宋_GB2312" w:hAnsi="华文仿宋" w:hint="eastAsia"/>
          <w:sz w:val="32"/>
          <w:szCs w:val="32"/>
        </w:rPr>
        <w:t>背景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）背景色以简洁适中饱和度为主（颜色保持在一至两种色系内）；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）背景和场景不宜变化过多；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）文字、图形等内容应与背景对比醒目。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5. </w:t>
      </w:r>
      <w:r>
        <w:rPr>
          <w:rFonts w:ascii="仿宋_GB2312" w:eastAsia="仿宋_GB2312" w:hAnsi="华文仿宋" w:hint="eastAsia"/>
          <w:sz w:val="32"/>
          <w:szCs w:val="32"/>
        </w:rPr>
        <w:t>色调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）色彩的选配应与课程科目相吻合；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）每一短视频或一系列短视频在配色上应体现出系统性，可选一种主色调再加上一至两种辅助色进行匹配；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）同一屏里文字不宜超出三种颜色。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</w:t>
      </w:r>
      <w:r>
        <w:rPr>
          <w:rFonts w:ascii="仿宋_GB2312" w:eastAsia="仿宋_GB2312" w:hAnsi="华文仿宋" w:hint="eastAsia"/>
          <w:sz w:val="32"/>
          <w:szCs w:val="32"/>
        </w:rPr>
        <w:t>字距与行距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）标题：在文字少的情形下，字距放宽一倍体现舒展性；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）正文：行距使用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行或</w:t>
      </w:r>
      <w:r>
        <w:rPr>
          <w:rFonts w:ascii="仿宋_GB2312" w:eastAsia="仿宋_GB2312" w:hAnsi="华文仿宋" w:hint="eastAsia"/>
          <w:sz w:val="32"/>
          <w:szCs w:val="32"/>
        </w:rPr>
        <w:t>1.5</w:t>
      </w:r>
      <w:r>
        <w:rPr>
          <w:rFonts w:ascii="仿宋_GB2312" w:eastAsia="仿宋_GB2312" w:hAnsi="华文仿宋" w:hint="eastAsia"/>
          <w:sz w:val="32"/>
          <w:szCs w:val="32"/>
        </w:rPr>
        <w:t>行，便于阅读。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7. </w:t>
      </w:r>
      <w:r>
        <w:rPr>
          <w:rFonts w:ascii="仿宋_GB2312" w:eastAsia="仿宋_GB2312" w:hAnsi="华文仿宋" w:hint="eastAsia"/>
          <w:sz w:val="32"/>
          <w:szCs w:val="32"/>
        </w:rPr>
        <w:t>配图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）图像应清晰并能反映出内容主题思想，分辨率应上</w:t>
      </w:r>
      <w:r>
        <w:rPr>
          <w:rFonts w:ascii="仿宋_GB2312" w:eastAsia="仿宋_GB2312" w:hAnsi="华文仿宋" w:hint="eastAsia"/>
          <w:sz w:val="32"/>
          <w:szCs w:val="32"/>
        </w:rPr>
        <w:t>72dpi</w:t>
      </w:r>
      <w:r>
        <w:rPr>
          <w:rFonts w:ascii="仿宋_GB2312" w:eastAsia="仿宋_GB2312" w:hAnsi="华文仿宋" w:hint="eastAsia"/>
          <w:sz w:val="32"/>
          <w:szCs w:val="32"/>
        </w:rPr>
        <w:t>以上；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）图片不可加长或压窄，防止变形；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）图形使用应通俗易懂，便于理解。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8. </w:t>
      </w:r>
      <w:r>
        <w:rPr>
          <w:rFonts w:ascii="仿宋_GB2312" w:eastAsia="仿宋_GB2312" w:hAnsi="华文仿宋" w:hint="eastAsia"/>
          <w:sz w:val="32"/>
          <w:szCs w:val="32"/>
        </w:rPr>
        <w:t>修饰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）细线条的运用比粗线条更显精致；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）扁平</w:t>
      </w:r>
      <w:r>
        <w:rPr>
          <w:rFonts w:ascii="仿宋_GB2312" w:eastAsia="仿宋_GB2312" w:hAnsi="华文仿宋" w:hint="eastAsia"/>
          <w:sz w:val="32"/>
          <w:szCs w:val="32"/>
        </w:rPr>
        <w:t>式的装饰更接近时代审美；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）有趣味的装饰通常更能吸引人。</w:t>
      </w:r>
    </w:p>
    <w:p w:rsidR="00E4169B" w:rsidRDefault="00854D13">
      <w:pPr>
        <w:spacing w:line="580" w:lineRule="exact"/>
        <w:ind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9. </w:t>
      </w:r>
      <w:r>
        <w:rPr>
          <w:rFonts w:ascii="仿宋_GB2312" w:eastAsia="仿宋_GB2312" w:hAnsi="华文仿宋" w:hint="eastAsia"/>
          <w:sz w:val="32"/>
          <w:szCs w:val="32"/>
        </w:rPr>
        <w:t>版权来源</w:t>
      </w:r>
    </w:p>
    <w:p w:rsidR="00E4169B" w:rsidRDefault="00854D13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素材选用注意版权，涉及版权问题须加入“版权来源”信息。</w:t>
      </w:r>
      <w:bookmarkStart w:id="0" w:name="_GoBack"/>
      <w:bookmarkEnd w:id="0"/>
    </w:p>
    <w:p w:rsidR="00E4169B" w:rsidRDefault="00E4169B">
      <w:pPr>
        <w:widowControl/>
        <w:rPr>
          <w:rFonts w:ascii="黑体" w:eastAsia="黑体" w:hAnsi="黑体" w:cs="黑体"/>
          <w:sz w:val="32"/>
          <w:szCs w:val="32"/>
        </w:rPr>
      </w:pPr>
    </w:p>
    <w:p w:rsidR="00E4169B" w:rsidRDefault="00E4169B">
      <w:pPr>
        <w:widowControl/>
        <w:rPr>
          <w:rFonts w:ascii="黑体" w:eastAsia="黑体" w:hAnsi="黑体" w:cs="黑体"/>
          <w:sz w:val="32"/>
          <w:szCs w:val="32"/>
        </w:rPr>
        <w:sectPr w:rsidR="00E4169B">
          <w:pgSz w:w="11906" w:h="16838"/>
          <w:pgMar w:top="1928" w:right="1531" w:bottom="1928" w:left="1531" w:header="851" w:footer="1531" w:gutter="0"/>
          <w:pgNumType w:fmt="numberInDash"/>
          <w:cols w:space="425"/>
          <w:docGrid w:linePitch="312"/>
        </w:sectPr>
      </w:pPr>
    </w:p>
    <w:p w:rsidR="00E4169B" w:rsidRDefault="00E4169B">
      <w:pPr>
        <w:spacing w:line="560" w:lineRule="exact"/>
      </w:pPr>
    </w:p>
    <w:sectPr w:rsidR="00E4169B" w:rsidSect="00E4169B">
      <w:footerReference w:type="even" r:id="rId7"/>
      <w:footerReference w:type="default" r:id="rId8"/>
      <w:pgSz w:w="11906" w:h="16838"/>
      <w:pgMar w:top="221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13" w:rsidRDefault="00854D13" w:rsidP="00E4169B">
      <w:r>
        <w:separator/>
      </w:r>
    </w:p>
  </w:endnote>
  <w:endnote w:type="continuationSeparator" w:id="1">
    <w:p w:rsidR="00854D13" w:rsidRDefault="00854D13" w:rsidP="00E4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9B" w:rsidRDefault="00E416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4D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69B" w:rsidRDefault="00E4169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9B" w:rsidRDefault="00E4169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13" w:rsidRDefault="00854D13" w:rsidP="00E4169B">
      <w:r>
        <w:separator/>
      </w:r>
    </w:p>
  </w:footnote>
  <w:footnote w:type="continuationSeparator" w:id="1">
    <w:p w:rsidR="00854D13" w:rsidRDefault="00854D13" w:rsidP="00E41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FA2"/>
    <w:rsid w:val="00034ADA"/>
    <w:rsid w:val="00075AAF"/>
    <w:rsid w:val="00107F11"/>
    <w:rsid w:val="001652B5"/>
    <w:rsid w:val="001919E7"/>
    <w:rsid w:val="002404CD"/>
    <w:rsid w:val="00607A5B"/>
    <w:rsid w:val="006D5B00"/>
    <w:rsid w:val="00716CBD"/>
    <w:rsid w:val="007903B3"/>
    <w:rsid w:val="007E11D4"/>
    <w:rsid w:val="008176D8"/>
    <w:rsid w:val="00844EA8"/>
    <w:rsid w:val="00854D13"/>
    <w:rsid w:val="00857FA2"/>
    <w:rsid w:val="00903CD1"/>
    <w:rsid w:val="00A0470E"/>
    <w:rsid w:val="00A76613"/>
    <w:rsid w:val="00B41FE0"/>
    <w:rsid w:val="00B85B4C"/>
    <w:rsid w:val="00BA3D48"/>
    <w:rsid w:val="00BC7072"/>
    <w:rsid w:val="00C30978"/>
    <w:rsid w:val="00C505C8"/>
    <w:rsid w:val="00C53A5C"/>
    <w:rsid w:val="00C66F16"/>
    <w:rsid w:val="00C74190"/>
    <w:rsid w:val="00D220F1"/>
    <w:rsid w:val="00DA28A9"/>
    <w:rsid w:val="00E4169B"/>
    <w:rsid w:val="00F152D5"/>
    <w:rsid w:val="00F63A3F"/>
    <w:rsid w:val="00F70BE4"/>
    <w:rsid w:val="00FA4F48"/>
    <w:rsid w:val="01291576"/>
    <w:rsid w:val="044F3E9F"/>
    <w:rsid w:val="057D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4169B"/>
    <w:rPr>
      <w:sz w:val="18"/>
      <w:szCs w:val="18"/>
    </w:rPr>
  </w:style>
  <w:style w:type="paragraph" w:styleId="a4">
    <w:name w:val="footer"/>
    <w:basedOn w:val="a"/>
    <w:link w:val="Char0"/>
    <w:qFormat/>
    <w:rsid w:val="00E4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E4169B"/>
  </w:style>
  <w:style w:type="character" w:styleId="a7">
    <w:name w:val="Hyperlink"/>
    <w:basedOn w:val="a0"/>
    <w:uiPriority w:val="99"/>
    <w:unhideWhenUsed/>
    <w:rsid w:val="00E4169B"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sid w:val="00E4169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169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416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516</Words>
  <Characters>2942</Characters>
  <Application>Microsoft Office Word</Application>
  <DocSecurity>0</DocSecurity>
  <Lines>24</Lines>
  <Paragraphs>6</Paragraphs>
  <ScaleCrop>false</ScaleCrop>
  <Company>微软中国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林文婷</cp:lastModifiedBy>
  <cp:revision>6</cp:revision>
  <cp:lastPrinted>2017-06-06T08:33:00Z</cp:lastPrinted>
  <dcterms:created xsi:type="dcterms:W3CDTF">2017-03-29T00:43:00Z</dcterms:created>
  <dcterms:modified xsi:type="dcterms:W3CDTF">2019-03-12T08:57:00Z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